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571" w:rsidRPr="00F96571" w:rsidRDefault="00F96571" w:rsidP="0058437C">
      <w:pPr>
        <w:spacing w:after="0" w:line="276" w:lineRule="auto"/>
        <w:rPr>
          <w:rFonts w:ascii="Arial" w:hAnsi="Arial" w:cs="Arial"/>
        </w:rPr>
      </w:pPr>
    </w:p>
    <w:p w:rsidR="00F96571" w:rsidRPr="00F96571" w:rsidRDefault="00F96571" w:rsidP="0058437C">
      <w:pPr>
        <w:spacing w:after="0" w:line="240" w:lineRule="auto"/>
        <w:ind w:left="5484" w:right="-313"/>
        <w:rPr>
          <w:rFonts w:ascii="Arial" w:hAnsi="Arial" w:cs="Arial"/>
        </w:rPr>
      </w:pPr>
      <w:r w:rsidRPr="00F96571">
        <w:rPr>
          <w:rFonts w:ascii="Arial" w:hAnsi="Arial" w:cs="Arial"/>
          <w:noProof/>
          <w:lang w:eastAsia="en-GB"/>
        </w:rPr>
        <w:drawing>
          <wp:inline distT="0" distB="0" distL="0" distR="0" wp14:anchorId="1F70CCF5" wp14:editId="45739970">
            <wp:extent cx="2447290" cy="895261"/>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1"/>
                    <a:stretch>
                      <a:fillRect/>
                    </a:stretch>
                  </pic:blipFill>
                  <pic:spPr>
                    <a:xfrm>
                      <a:off x="0" y="0"/>
                      <a:ext cx="2447290" cy="895261"/>
                    </a:xfrm>
                    <a:prstGeom prst="rect">
                      <a:avLst/>
                    </a:prstGeom>
                  </pic:spPr>
                </pic:pic>
              </a:graphicData>
            </a:graphic>
          </wp:inline>
        </w:drawing>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b/>
          <w:sz w:val="36"/>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b/>
          <w:sz w:val="36"/>
        </w:rPr>
      </w:pPr>
    </w:p>
    <w:p w:rsidR="00F96571" w:rsidRPr="00F96571" w:rsidRDefault="00F96571" w:rsidP="0058437C">
      <w:pPr>
        <w:spacing w:after="0" w:line="240" w:lineRule="auto"/>
        <w:rPr>
          <w:rFonts w:ascii="Arial" w:hAnsi="Arial" w:cs="Arial"/>
          <w:b/>
          <w:sz w:val="36"/>
        </w:rPr>
      </w:pPr>
    </w:p>
    <w:p w:rsidR="00F96571" w:rsidRPr="00F96571" w:rsidRDefault="00F96571" w:rsidP="0058437C">
      <w:pPr>
        <w:spacing w:after="0" w:line="240" w:lineRule="auto"/>
        <w:rPr>
          <w:rFonts w:ascii="Arial" w:hAnsi="Arial" w:cs="Arial"/>
        </w:rPr>
      </w:pPr>
    </w:p>
    <w:p w:rsidR="00F96571" w:rsidRDefault="00F96571" w:rsidP="0058437C">
      <w:pPr>
        <w:spacing w:after="0" w:line="240" w:lineRule="auto"/>
        <w:rPr>
          <w:rFonts w:ascii="Arial" w:hAnsi="Arial" w:cs="Arial"/>
          <w:b/>
          <w:sz w:val="36"/>
        </w:rPr>
      </w:pPr>
      <w:r w:rsidRPr="00F96571">
        <w:rPr>
          <w:rFonts w:ascii="Arial" w:hAnsi="Arial" w:cs="Arial"/>
          <w:b/>
          <w:sz w:val="36"/>
        </w:rPr>
        <w:t xml:space="preserve"> </w:t>
      </w:r>
    </w:p>
    <w:p w:rsidR="00F96571" w:rsidRDefault="00F96571" w:rsidP="0058437C">
      <w:pPr>
        <w:spacing w:after="0" w:line="240" w:lineRule="auto"/>
        <w:rPr>
          <w:rFonts w:ascii="Arial" w:hAnsi="Arial" w:cs="Arial"/>
          <w:b/>
          <w:sz w:val="36"/>
        </w:rPr>
      </w:pPr>
    </w:p>
    <w:p w:rsidR="00F96571" w:rsidRDefault="00F96571" w:rsidP="0058437C">
      <w:pPr>
        <w:spacing w:after="0" w:line="240" w:lineRule="auto"/>
        <w:rPr>
          <w:rFonts w:ascii="Arial" w:hAnsi="Arial" w:cs="Arial"/>
          <w:b/>
          <w:sz w:val="36"/>
        </w:rPr>
      </w:pPr>
    </w:p>
    <w:p w:rsidR="0058437C" w:rsidRDefault="0058437C" w:rsidP="0058437C">
      <w:pPr>
        <w:spacing w:after="0" w:line="240" w:lineRule="auto"/>
        <w:rPr>
          <w:rFonts w:ascii="Arial" w:hAnsi="Arial" w:cs="Arial"/>
          <w:b/>
          <w:sz w:val="36"/>
        </w:rPr>
      </w:pPr>
    </w:p>
    <w:p w:rsidR="00F96571" w:rsidRPr="00F96571" w:rsidRDefault="00F96571" w:rsidP="0058437C">
      <w:pPr>
        <w:spacing w:after="0" w:line="240" w:lineRule="auto"/>
        <w:rPr>
          <w:rFonts w:ascii="Arial" w:hAnsi="Arial" w:cs="Arial"/>
        </w:rPr>
      </w:pP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pStyle w:val="Heading1"/>
        <w:spacing w:before="0" w:beforeAutospacing="0" w:after="0" w:afterAutospacing="0"/>
        <w:ind w:left="-5"/>
        <w:jc w:val="right"/>
        <w:rPr>
          <w:rFonts w:ascii="Arial" w:hAnsi="Arial" w:cs="Arial"/>
          <w:sz w:val="52"/>
        </w:rPr>
      </w:pPr>
      <w:r w:rsidRPr="00F96571">
        <w:rPr>
          <w:rStyle w:val="TitleChar"/>
          <w:rFonts w:ascii="Arial" w:hAnsi="Arial" w:cs="Arial"/>
          <w:sz w:val="40"/>
          <w:szCs w:val="36"/>
        </w:rPr>
        <w:t>Student Protection Plan</w:t>
      </w:r>
    </w:p>
    <w:p w:rsidR="00F96571" w:rsidRPr="00F96571" w:rsidRDefault="00F96571" w:rsidP="0058437C">
      <w:pPr>
        <w:spacing w:after="0" w:line="240" w:lineRule="auto"/>
        <w:rPr>
          <w:rFonts w:ascii="Arial" w:hAnsi="Arial" w:cs="Arial"/>
        </w:rPr>
      </w:pP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6"/>
        </w:rPr>
        <w:t xml:space="preserve"> </w:t>
      </w: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b/>
          <w:color w:val="FFFFFF"/>
          <w:sz w:val="24"/>
        </w:rPr>
      </w:pPr>
      <w:r w:rsidRPr="00F96571">
        <w:rPr>
          <w:rFonts w:ascii="Arial" w:hAnsi="Arial" w:cs="Arial"/>
          <w:b/>
          <w:color w:val="FFFFFF"/>
          <w:sz w:val="24"/>
        </w:rPr>
        <w:t xml:space="preserve"> </w:t>
      </w:r>
    </w:p>
    <w:p w:rsidR="00F96571" w:rsidRPr="00F96571" w:rsidRDefault="00F96571" w:rsidP="0058437C">
      <w:pPr>
        <w:spacing w:after="0" w:line="240" w:lineRule="auto"/>
        <w:rPr>
          <w:rFonts w:ascii="Arial" w:hAnsi="Arial" w:cs="Arial"/>
          <w:b/>
          <w:color w:val="FFFFFF"/>
          <w:sz w:val="24"/>
        </w:rPr>
      </w:pPr>
    </w:p>
    <w:p w:rsidR="00F96571" w:rsidRPr="00F96571" w:rsidRDefault="00F96571" w:rsidP="0058437C">
      <w:pPr>
        <w:spacing w:after="0" w:line="240" w:lineRule="auto"/>
        <w:rPr>
          <w:rFonts w:ascii="Arial" w:hAnsi="Arial" w:cs="Arial"/>
          <w:b/>
          <w:color w:val="FFFFFF"/>
          <w:sz w:val="24"/>
        </w:rPr>
      </w:pPr>
    </w:p>
    <w:p w:rsidR="00F96571" w:rsidRPr="00F96571" w:rsidRDefault="00F96571" w:rsidP="0058437C">
      <w:pPr>
        <w:spacing w:after="0" w:line="240" w:lineRule="auto"/>
        <w:rPr>
          <w:rFonts w:ascii="Arial" w:hAnsi="Arial" w:cs="Arial"/>
          <w:b/>
          <w:color w:val="FFFFFF"/>
          <w:sz w:val="24"/>
        </w:rPr>
      </w:pPr>
    </w:p>
    <w:p w:rsidR="00F96571" w:rsidRPr="00F96571" w:rsidRDefault="00F96571" w:rsidP="0058437C">
      <w:pPr>
        <w:spacing w:after="0" w:line="240" w:lineRule="auto"/>
        <w:rPr>
          <w:rFonts w:ascii="Arial" w:hAnsi="Arial" w:cs="Arial"/>
        </w:rPr>
      </w:pPr>
    </w:p>
    <w:p w:rsidR="00F96571" w:rsidRPr="00F96571" w:rsidRDefault="00F96571" w:rsidP="0058437C">
      <w:pPr>
        <w:spacing w:after="0" w:line="240" w:lineRule="auto"/>
        <w:rPr>
          <w:rFonts w:ascii="Arial" w:hAnsi="Arial" w:cs="Arial"/>
        </w:rPr>
      </w:pPr>
      <w:r w:rsidRPr="00F96571">
        <w:rPr>
          <w:rFonts w:ascii="Arial" w:hAnsi="Arial" w:cs="Arial"/>
          <w:b/>
          <w:color w:val="FFFFFF"/>
          <w:sz w:val="24"/>
        </w:rPr>
        <w:t xml:space="preserve"> </w:t>
      </w:r>
    </w:p>
    <w:tbl>
      <w:tblPr>
        <w:tblStyle w:val="TableGrid1"/>
        <w:tblW w:w="9735" w:type="dxa"/>
        <w:tblInd w:w="-289" w:type="dxa"/>
        <w:tblCellMar>
          <w:top w:w="96" w:type="dxa"/>
          <w:left w:w="107" w:type="dxa"/>
          <w:right w:w="115" w:type="dxa"/>
        </w:tblCellMar>
        <w:tblLook w:val="04A0" w:firstRow="1" w:lastRow="0" w:firstColumn="1" w:lastColumn="0" w:noHBand="0" w:noVBand="1"/>
      </w:tblPr>
      <w:tblGrid>
        <w:gridCol w:w="2978"/>
        <w:gridCol w:w="6757"/>
      </w:tblGrid>
      <w:tr w:rsidR="00F96571" w:rsidRPr="00F96571" w:rsidTr="00070C86">
        <w:trPr>
          <w:trHeight w:val="457"/>
        </w:trPr>
        <w:tc>
          <w:tcPr>
            <w:tcW w:w="2978" w:type="dxa"/>
            <w:tcBorders>
              <w:top w:val="single" w:sz="4" w:space="0" w:color="000000"/>
              <w:left w:val="single" w:sz="4" w:space="0" w:color="000000"/>
              <w:bottom w:val="single" w:sz="4" w:space="0" w:color="000000"/>
              <w:right w:val="single" w:sz="4" w:space="0" w:color="000000"/>
            </w:tcBorders>
            <w:shd w:val="clear" w:color="auto" w:fill="D9D9D9"/>
          </w:tcPr>
          <w:p w:rsidR="00F96571" w:rsidRPr="00F96571" w:rsidRDefault="00F96571" w:rsidP="0058437C">
            <w:pPr>
              <w:rPr>
                <w:rFonts w:ascii="Arial" w:hAnsi="Arial" w:cs="Arial"/>
              </w:rPr>
            </w:pPr>
            <w:r w:rsidRPr="00F96571">
              <w:rPr>
                <w:rFonts w:ascii="Arial" w:hAnsi="Arial" w:cs="Arial"/>
                <w:b/>
                <w:sz w:val="24"/>
              </w:rPr>
              <w:t xml:space="preserve">Policy Reference </w:t>
            </w:r>
          </w:p>
        </w:tc>
        <w:tc>
          <w:tcPr>
            <w:tcW w:w="6757" w:type="dxa"/>
            <w:tcBorders>
              <w:top w:val="single" w:sz="4" w:space="0" w:color="000000"/>
              <w:left w:val="single" w:sz="4" w:space="0" w:color="000000"/>
              <w:bottom w:val="single" w:sz="4" w:space="0" w:color="000000"/>
              <w:right w:val="single" w:sz="4" w:space="0" w:color="000000"/>
            </w:tcBorders>
          </w:tcPr>
          <w:p w:rsidR="00F96571" w:rsidRPr="00F96571" w:rsidRDefault="004151B3" w:rsidP="0058437C">
            <w:pPr>
              <w:ind w:left="1"/>
              <w:rPr>
                <w:rFonts w:ascii="Arial" w:hAnsi="Arial" w:cs="Arial"/>
              </w:rPr>
            </w:pPr>
            <w:r>
              <w:rPr>
                <w:rFonts w:ascii="Arial" w:hAnsi="Arial" w:cs="Arial"/>
                <w:sz w:val="24"/>
              </w:rPr>
              <w:t>HE-02</w:t>
            </w:r>
            <w:r w:rsidR="00F96571" w:rsidRPr="00F96571">
              <w:rPr>
                <w:rFonts w:ascii="Arial" w:hAnsi="Arial" w:cs="Arial"/>
                <w:sz w:val="24"/>
              </w:rPr>
              <w:t xml:space="preserve"> </w:t>
            </w:r>
          </w:p>
        </w:tc>
      </w:tr>
      <w:tr w:rsidR="00F96571" w:rsidRPr="00F96571" w:rsidTr="00070C86">
        <w:trPr>
          <w:trHeight w:val="456"/>
        </w:trPr>
        <w:tc>
          <w:tcPr>
            <w:tcW w:w="2978" w:type="dxa"/>
            <w:tcBorders>
              <w:top w:val="single" w:sz="4" w:space="0" w:color="000000"/>
              <w:left w:val="single" w:sz="4" w:space="0" w:color="000000"/>
              <w:bottom w:val="single" w:sz="4" w:space="0" w:color="000000"/>
              <w:right w:val="single" w:sz="4" w:space="0" w:color="000000"/>
            </w:tcBorders>
            <w:shd w:val="clear" w:color="auto" w:fill="D9D9D9"/>
          </w:tcPr>
          <w:p w:rsidR="00F96571" w:rsidRPr="00F96571" w:rsidRDefault="00F96571" w:rsidP="0058437C">
            <w:pPr>
              <w:rPr>
                <w:rFonts w:ascii="Arial" w:hAnsi="Arial" w:cs="Arial"/>
              </w:rPr>
            </w:pPr>
            <w:r w:rsidRPr="00F96571">
              <w:rPr>
                <w:rFonts w:ascii="Arial" w:hAnsi="Arial" w:cs="Arial"/>
                <w:b/>
                <w:sz w:val="24"/>
              </w:rPr>
              <w:t xml:space="preserve">Issue Date </w:t>
            </w:r>
          </w:p>
        </w:tc>
        <w:tc>
          <w:tcPr>
            <w:tcW w:w="6757" w:type="dxa"/>
            <w:tcBorders>
              <w:top w:val="single" w:sz="4" w:space="0" w:color="000000"/>
              <w:left w:val="single" w:sz="4" w:space="0" w:color="000000"/>
              <w:bottom w:val="single" w:sz="4" w:space="0" w:color="000000"/>
              <w:right w:val="single" w:sz="4" w:space="0" w:color="000000"/>
            </w:tcBorders>
          </w:tcPr>
          <w:p w:rsidR="00F96571" w:rsidRPr="00F96571" w:rsidRDefault="00E32CDC" w:rsidP="0058437C">
            <w:pPr>
              <w:ind w:left="1"/>
              <w:rPr>
                <w:rFonts w:ascii="Arial" w:hAnsi="Arial" w:cs="Arial"/>
              </w:rPr>
            </w:pPr>
            <w:r>
              <w:rPr>
                <w:rFonts w:ascii="Arial" w:hAnsi="Arial" w:cs="Arial"/>
                <w:sz w:val="24"/>
              </w:rPr>
              <w:t>27 February 2020</w:t>
            </w:r>
            <w:r w:rsidR="00F96571" w:rsidRPr="00F96571">
              <w:rPr>
                <w:rFonts w:ascii="Arial" w:hAnsi="Arial" w:cs="Arial"/>
                <w:sz w:val="24"/>
              </w:rPr>
              <w:t xml:space="preserve"> </w:t>
            </w:r>
          </w:p>
        </w:tc>
      </w:tr>
    </w:tbl>
    <w:p w:rsidR="0058437C" w:rsidRDefault="00F96571" w:rsidP="0058437C">
      <w:pPr>
        <w:pStyle w:val="Subtitle"/>
        <w:spacing w:line="240" w:lineRule="auto"/>
        <w:rPr>
          <w:sz w:val="32"/>
        </w:rPr>
        <w:sectPr w:rsidR="0058437C" w:rsidSect="00F80661">
          <w:footerReference w:type="default" r:id="rId12"/>
          <w:pgSz w:w="11906" w:h="16838"/>
          <w:pgMar w:top="1440" w:right="1440" w:bottom="1276" w:left="1440" w:header="708" w:footer="708" w:gutter="0"/>
          <w:cols w:space="708"/>
          <w:docGrid w:linePitch="360"/>
        </w:sectPr>
      </w:pPr>
      <w:r w:rsidRPr="00F96571">
        <w:rPr>
          <w:sz w:val="32"/>
        </w:rPr>
        <w:t xml:space="preserve"> </w:t>
      </w:r>
    </w:p>
    <w:p w:rsidR="00F96571" w:rsidRPr="00F96571" w:rsidRDefault="00F96571" w:rsidP="0058437C">
      <w:pPr>
        <w:pStyle w:val="Subtitle"/>
        <w:spacing w:line="240" w:lineRule="auto"/>
        <w:rPr>
          <w:sz w:val="32"/>
        </w:rPr>
      </w:pPr>
      <w:r w:rsidRPr="00F96571">
        <w:rPr>
          <w:sz w:val="32"/>
        </w:rPr>
        <w:lastRenderedPageBreak/>
        <w:t xml:space="preserve">Document Control </w:t>
      </w:r>
    </w:p>
    <w:p w:rsidR="00F96571" w:rsidRPr="00F96571" w:rsidRDefault="00F96571" w:rsidP="0058437C">
      <w:pPr>
        <w:spacing w:after="0" w:line="240" w:lineRule="auto"/>
        <w:rPr>
          <w:rFonts w:ascii="Arial" w:hAnsi="Arial" w:cs="Arial"/>
        </w:rPr>
      </w:pPr>
      <w:r w:rsidRPr="00F96571">
        <w:rPr>
          <w:rFonts w:ascii="Arial" w:hAnsi="Arial" w:cs="Arial"/>
          <w:b/>
          <w:sz w:val="32"/>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2"/>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2"/>
        </w:rPr>
        <w:t xml:space="preserve"> </w:t>
      </w:r>
    </w:p>
    <w:p w:rsidR="00F96571" w:rsidRPr="00F96571" w:rsidRDefault="00F96571" w:rsidP="0058437C">
      <w:pPr>
        <w:spacing w:after="0" w:line="240" w:lineRule="auto"/>
        <w:rPr>
          <w:rFonts w:ascii="Arial" w:hAnsi="Arial" w:cs="Arial"/>
        </w:rPr>
      </w:pPr>
      <w:r w:rsidRPr="00F96571">
        <w:rPr>
          <w:rFonts w:ascii="Arial" w:hAnsi="Arial" w:cs="Arial"/>
          <w:b/>
          <w:sz w:val="32"/>
        </w:rPr>
        <w:t xml:space="preserve"> </w:t>
      </w:r>
    </w:p>
    <w:p w:rsidR="00F96571" w:rsidRDefault="00F96571" w:rsidP="0058437C">
      <w:pPr>
        <w:spacing w:after="0" w:line="240" w:lineRule="auto"/>
        <w:rPr>
          <w:rFonts w:ascii="Arial" w:hAnsi="Arial" w:cs="Arial"/>
          <w:b/>
          <w:sz w:val="32"/>
        </w:rPr>
      </w:pPr>
      <w:r w:rsidRPr="00F96571">
        <w:rPr>
          <w:rFonts w:ascii="Arial" w:hAnsi="Arial" w:cs="Arial"/>
          <w:b/>
          <w:sz w:val="32"/>
        </w:rPr>
        <w:t xml:space="preserve"> </w:t>
      </w:r>
    </w:p>
    <w:p w:rsidR="00F96571" w:rsidRDefault="00F96571" w:rsidP="0058437C">
      <w:pPr>
        <w:spacing w:after="0" w:line="240" w:lineRule="auto"/>
        <w:rPr>
          <w:rFonts w:ascii="Arial" w:hAnsi="Arial" w:cs="Arial"/>
          <w:b/>
          <w:sz w:val="32"/>
        </w:rPr>
      </w:pPr>
    </w:p>
    <w:p w:rsidR="00F96571" w:rsidRDefault="00F96571" w:rsidP="0058437C">
      <w:pPr>
        <w:spacing w:after="0" w:line="240" w:lineRule="auto"/>
        <w:rPr>
          <w:rFonts w:ascii="Arial" w:hAnsi="Arial" w:cs="Arial"/>
          <w:b/>
          <w:sz w:val="32"/>
        </w:rPr>
      </w:pPr>
    </w:p>
    <w:p w:rsidR="00F96571" w:rsidRDefault="00F96571" w:rsidP="0058437C">
      <w:pPr>
        <w:spacing w:after="0" w:line="240" w:lineRule="auto"/>
        <w:rPr>
          <w:rFonts w:ascii="Arial" w:hAnsi="Arial" w:cs="Arial"/>
          <w:b/>
          <w:sz w:val="32"/>
        </w:rPr>
      </w:pPr>
    </w:p>
    <w:p w:rsidR="00F96571" w:rsidRDefault="00F96571" w:rsidP="0058437C">
      <w:pPr>
        <w:spacing w:after="0" w:line="240" w:lineRule="auto"/>
        <w:rPr>
          <w:rFonts w:ascii="Arial" w:hAnsi="Arial" w:cs="Arial"/>
          <w:b/>
          <w:sz w:val="32"/>
        </w:rPr>
      </w:pPr>
    </w:p>
    <w:p w:rsidR="00F96571" w:rsidRPr="00F96571" w:rsidRDefault="00F96571" w:rsidP="0058437C">
      <w:pPr>
        <w:spacing w:after="0" w:line="240" w:lineRule="auto"/>
        <w:rPr>
          <w:rFonts w:ascii="Arial" w:hAnsi="Arial" w:cs="Arial"/>
        </w:rPr>
      </w:pPr>
    </w:p>
    <w:p w:rsidR="00F96571" w:rsidRPr="00F96571" w:rsidRDefault="00F96571" w:rsidP="0058437C">
      <w:pPr>
        <w:spacing w:after="0" w:line="240" w:lineRule="auto"/>
        <w:rPr>
          <w:rFonts w:ascii="Arial" w:hAnsi="Arial" w:cs="Arial"/>
        </w:rPr>
      </w:pPr>
      <w:r w:rsidRPr="00F96571">
        <w:rPr>
          <w:rFonts w:ascii="Arial" w:hAnsi="Arial" w:cs="Arial"/>
          <w:b/>
          <w:sz w:val="32"/>
        </w:rPr>
        <w:t xml:space="preserve"> </w:t>
      </w:r>
    </w:p>
    <w:tbl>
      <w:tblPr>
        <w:tblStyle w:val="TableGrid1"/>
        <w:tblW w:w="9214" w:type="dxa"/>
        <w:tblInd w:w="1" w:type="dxa"/>
        <w:tblCellMar>
          <w:left w:w="107" w:type="dxa"/>
          <w:right w:w="115" w:type="dxa"/>
        </w:tblCellMar>
        <w:tblLook w:val="04A0" w:firstRow="1" w:lastRow="0" w:firstColumn="1" w:lastColumn="0" w:noHBand="0" w:noVBand="1"/>
      </w:tblPr>
      <w:tblGrid>
        <w:gridCol w:w="3088"/>
        <w:gridCol w:w="6126"/>
      </w:tblGrid>
      <w:tr w:rsidR="00F96571" w:rsidRPr="00F96571" w:rsidTr="00070C86">
        <w:trPr>
          <w:trHeight w:val="457"/>
        </w:trPr>
        <w:tc>
          <w:tcPr>
            <w:tcW w:w="3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96571" w:rsidRPr="00F96571" w:rsidRDefault="00F96571" w:rsidP="0058437C">
            <w:pPr>
              <w:rPr>
                <w:rFonts w:ascii="Arial" w:hAnsi="Arial" w:cs="Arial"/>
              </w:rPr>
            </w:pPr>
            <w:r w:rsidRPr="00F96571">
              <w:rPr>
                <w:rFonts w:ascii="Arial" w:hAnsi="Arial" w:cs="Arial"/>
                <w:b/>
              </w:rPr>
              <w:t xml:space="preserve">Owner </w:t>
            </w:r>
          </w:p>
        </w:tc>
        <w:tc>
          <w:tcPr>
            <w:tcW w:w="6126" w:type="dxa"/>
            <w:tcBorders>
              <w:top w:val="single" w:sz="4" w:space="0" w:color="000000"/>
              <w:left w:val="single" w:sz="4" w:space="0" w:color="000000"/>
              <w:bottom w:val="single" w:sz="4" w:space="0" w:color="000000"/>
              <w:right w:val="single" w:sz="4" w:space="0" w:color="000000"/>
            </w:tcBorders>
            <w:vAlign w:val="center"/>
          </w:tcPr>
          <w:p w:rsidR="00F96571" w:rsidRPr="00F96571" w:rsidRDefault="00F96571" w:rsidP="0058437C">
            <w:pPr>
              <w:ind w:left="1"/>
              <w:rPr>
                <w:rFonts w:ascii="Arial" w:hAnsi="Arial" w:cs="Arial"/>
              </w:rPr>
            </w:pPr>
            <w:r>
              <w:rPr>
                <w:rFonts w:ascii="Arial" w:hAnsi="Arial" w:cs="Arial"/>
              </w:rPr>
              <w:t>Vice Principal Curriculum and Quality</w:t>
            </w:r>
            <w:r w:rsidRPr="00F96571">
              <w:rPr>
                <w:rFonts w:ascii="Arial" w:hAnsi="Arial" w:cs="Arial"/>
              </w:rPr>
              <w:t xml:space="preserve"> </w:t>
            </w:r>
          </w:p>
        </w:tc>
      </w:tr>
      <w:tr w:rsidR="00F96571" w:rsidRPr="00F96571" w:rsidTr="00070C86">
        <w:trPr>
          <w:trHeight w:val="458"/>
        </w:trPr>
        <w:tc>
          <w:tcPr>
            <w:tcW w:w="3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96571" w:rsidRPr="00F96571" w:rsidRDefault="00F96571" w:rsidP="0058437C">
            <w:pPr>
              <w:rPr>
                <w:rFonts w:ascii="Arial" w:hAnsi="Arial" w:cs="Arial"/>
              </w:rPr>
            </w:pPr>
            <w:r w:rsidRPr="00F96571">
              <w:rPr>
                <w:rFonts w:ascii="Arial" w:hAnsi="Arial" w:cs="Arial"/>
                <w:b/>
              </w:rPr>
              <w:t xml:space="preserve">Audience </w:t>
            </w:r>
          </w:p>
        </w:tc>
        <w:tc>
          <w:tcPr>
            <w:tcW w:w="6126" w:type="dxa"/>
            <w:tcBorders>
              <w:top w:val="single" w:sz="4" w:space="0" w:color="000000"/>
              <w:left w:val="single" w:sz="4" w:space="0" w:color="000000"/>
              <w:bottom w:val="single" w:sz="4" w:space="0" w:color="000000"/>
              <w:right w:val="single" w:sz="4" w:space="0" w:color="000000"/>
            </w:tcBorders>
            <w:vAlign w:val="center"/>
          </w:tcPr>
          <w:p w:rsidR="00F96571" w:rsidRPr="00F96571" w:rsidRDefault="00F96571" w:rsidP="0058437C">
            <w:pPr>
              <w:ind w:left="1"/>
              <w:rPr>
                <w:rFonts w:ascii="Arial" w:hAnsi="Arial" w:cs="Arial"/>
              </w:rPr>
            </w:pPr>
            <w:r w:rsidRPr="00F96571">
              <w:rPr>
                <w:rFonts w:ascii="Arial" w:hAnsi="Arial" w:cs="Arial"/>
              </w:rPr>
              <w:t xml:space="preserve">All Moulton College Stakeholders </w:t>
            </w:r>
          </w:p>
        </w:tc>
      </w:tr>
      <w:tr w:rsidR="00F96571" w:rsidRPr="00F96571" w:rsidTr="00070C86">
        <w:trPr>
          <w:trHeight w:val="457"/>
        </w:trPr>
        <w:tc>
          <w:tcPr>
            <w:tcW w:w="3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96571" w:rsidRPr="00F96571" w:rsidRDefault="00F96571" w:rsidP="0058437C">
            <w:pPr>
              <w:rPr>
                <w:rFonts w:ascii="Arial" w:hAnsi="Arial" w:cs="Arial"/>
              </w:rPr>
            </w:pPr>
            <w:r w:rsidRPr="00F96571">
              <w:rPr>
                <w:rFonts w:ascii="Arial" w:hAnsi="Arial" w:cs="Arial"/>
                <w:b/>
              </w:rPr>
              <w:t xml:space="preserve">Confidentiality </w:t>
            </w:r>
          </w:p>
        </w:tc>
        <w:tc>
          <w:tcPr>
            <w:tcW w:w="6126" w:type="dxa"/>
            <w:tcBorders>
              <w:top w:val="single" w:sz="4" w:space="0" w:color="000000"/>
              <w:left w:val="single" w:sz="4" w:space="0" w:color="000000"/>
              <w:bottom w:val="single" w:sz="4" w:space="0" w:color="000000"/>
              <w:right w:val="single" w:sz="4" w:space="0" w:color="000000"/>
            </w:tcBorders>
            <w:vAlign w:val="center"/>
          </w:tcPr>
          <w:p w:rsidR="00F96571" w:rsidRPr="00F96571" w:rsidRDefault="00F96571" w:rsidP="0058437C">
            <w:pPr>
              <w:ind w:left="1"/>
              <w:rPr>
                <w:rFonts w:ascii="Arial" w:hAnsi="Arial" w:cs="Arial"/>
              </w:rPr>
            </w:pPr>
            <w:r w:rsidRPr="00F96571">
              <w:rPr>
                <w:rFonts w:ascii="Arial" w:hAnsi="Arial" w:cs="Arial"/>
              </w:rPr>
              <w:t xml:space="preserve">Not applicable </w:t>
            </w:r>
          </w:p>
        </w:tc>
      </w:tr>
    </w:tbl>
    <w:p w:rsidR="00F96571" w:rsidRPr="00F96571" w:rsidRDefault="00F96571" w:rsidP="0058437C">
      <w:pPr>
        <w:spacing w:after="0" w:line="240" w:lineRule="auto"/>
        <w:rPr>
          <w:rFonts w:ascii="Arial" w:hAnsi="Arial" w:cs="Arial"/>
        </w:rPr>
      </w:pPr>
      <w:r w:rsidRPr="00F96571">
        <w:rPr>
          <w:rFonts w:ascii="Arial" w:hAnsi="Arial" w:cs="Arial"/>
          <w:b/>
        </w:rPr>
        <w:t xml:space="preserve"> </w:t>
      </w:r>
    </w:p>
    <w:p w:rsidR="00F96571" w:rsidRPr="00F96571" w:rsidRDefault="00F96571" w:rsidP="0058437C">
      <w:pPr>
        <w:pStyle w:val="Subtitle"/>
        <w:spacing w:line="240" w:lineRule="auto"/>
      </w:pPr>
      <w:r w:rsidRPr="00F96571">
        <w:t xml:space="preserve">Version Control </w:t>
      </w:r>
    </w:p>
    <w:p w:rsidR="00F96571" w:rsidRPr="00F96571" w:rsidRDefault="00F96571" w:rsidP="0058437C">
      <w:pPr>
        <w:spacing w:after="0" w:line="240" w:lineRule="auto"/>
        <w:rPr>
          <w:rFonts w:ascii="Arial" w:hAnsi="Arial" w:cs="Arial"/>
        </w:rPr>
      </w:pPr>
      <w:r w:rsidRPr="00F96571">
        <w:rPr>
          <w:rFonts w:ascii="Arial" w:eastAsia="Calibri" w:hAnsi="Arial" w:cs="Arial"/>
        </w:rPr>
        <w:t xml:space="preserve"> </w:t>
      </w:r>
    </w:p>
    <w:tbl>
      <w:tblPr>
        <w:tblStyle w:val="TableGrid1"/>
        <w:tblW w:w="9208" w:type="dxa"/>
        <w:tblInd w:w="6" w:type="dxa"/>
        <w:tblCellMar>
          <w:top w:w="9" w:type="dxa"/>
          <w:left w:w="107" w:type="dxa"/>
          <w:right w:w="115" w:type="dxa"/>
        </w:tblCellMar>
        <w:tblLook w:val="04A0" w:firstRow="1" w:lastRow="0" w:firstColumn="1" w:lastColumn="0" w:noHBand="0" w:noVBand="1"/>
      </w:tblPr>
      <w:tblGrid>
        <w:gridCol w:w="1117"/>
        <w:gridCol w:w="4941"/>
        <w:gridCol w:w="1411"/>
        <w:gridCol w:w="1739"/>
      </w:tblGrid>
      <w:tr w:rsidR="00F96571" w:rsidRPr="00F96571" w:rsidTr="00070C86">
        <w:trPr>
          <w:trHeight w:val="506"/>
        </w:trPr>
        <w:tc>
          <w:tcPr>
            <w:tcW w:w="11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96571" w:rsidRPr="00F96571" w:rsidRDefault="00F96571" w:rsidP="0058437C">
            <w:pPr>
              <w:rPr>
                <w:rFonts w:ascii="Arial" w:hAnsi="Arial" w:cs="Arial"/>
              </w:rPr>
            </w:pPr>
            <w:r w:rsidRPr="00F96571">
              <w:rPr>
                <w:rFonts w:ascii="Arial" w:hAnsi="Arial" w:cs="Arial"/>
                <w:b/>
              </w:rPr>
              <w:t xml:space="preserve">Version </w:t>
            </w:r>
          </w:p>
        </w:tc>
        <w:tc>
          <w:tcPr>
            <w:tcW w:w="49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96571" w:rsidRPr="00F96571" w:rsidRDefault="00F96571" w:rsidP="0058437C">
            <w:pPr>
              <w:ind w:left="1"/>
              <w:rPr>
                <w:rFonts w:ascii="Arial" w:hAnsi="Arial" w:cs="Arial"/>
              </w:rPr>
            </w:pPr>
            <w:r w:rsidRPr="00F96571">
              <w:rPr>
                <w:rFonts w:ascii="Arial" w:hAnsi="Arial" w:cs="Arial"/>
                <w:b/>
              </w:rPr>
              <w:t xml:space="preserve">Description/Changes </w:t>
            </w:r>
          </w:p>
        </w:tc>
        <w:tc>
          <w:tcPr>
            <w:tcW w:w="14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96571" w:rsidRPr="00F96571" w:rsidRDefault="00F96571" w:rsidP="0058437C">
            <w:pPr>
              <w:ind w:left="1"/>
              <w:rPr>
                <w:rFonts w:ascii="Arial" w:hAnsi="Arial" w:cs="Arial"/>
              </w:rPr>
            </w:pPr>
            <w:r w:rsidRPr="00F96571">
              <w:rPr>
                <w:rFonts w:ascii="Arial" w:hAnsi="Arial" w:cs="Arial"/>
                <w:b/>
              </w:rPr>
              <w:t xml:space="preserve">By </w:t>
            </w:r>
          </w:p>
        </w:tc>
        <w:tc>
          <w:tcPr>
            <w:tcW w:w="173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96571" w:rsidRPr="00F96571" w:rsidRDefault="00F96571" w:rsidP="0058437C">
            <w:pPr>
              <w:ind w:left="1"/>
              <w:rPr>
                <w:rFonts w:ascii="Arial" w:hAnsi="Arial" w:cs="Arial"/>
              </w:rPr>
            </w:pPr>
            <w:r w:rsidRPr="00F96571">
              <w:rPr>
                <w:rFonts w:ascii="Arial" w:hAnsi="Arial" w:cs="Arial"/>
                <w:b/>
              </w:rPr>
              <w:t xml:space="preserve">Date </w:t>
            </w:r>
          </w:p>
        </w:tc>
      </w:tr>
      <w:tr w:rsidR="00F96571" w:rsidRPr="00F96571" w:rsidTr="00070C86">
        <w:trPr>
          <w:trHeight w:val="263"/>
        </w:trPr>
        <w:tc>
          <w:tcPr>
            <w:tcW w:w="1117"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1.0 </w:t>
            </w:r>
          </w:p>
        </w:tc>
        <w:tc>
          <w:tcPr>
            <w:tcW w:w="494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sidRPr="00F96571">
              <w:rPr>
                <w:rFonts w:ascii="Arial" w:hAnsi="Arial" w:cs="Arial"/>
              </w:rPr>
              <w:t xml:space="preserve">Full systemic review </w:t>
            </w:r>
          </w:p>
        </w:tc>
        <w:tc>
          <w:tcPr>
            <w:tcW w:w="1411"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Pr>
                <w:rFonts w:ascii="Arial" w:hAnsi="Arial" w:cs="Arial"/>
              </w:rPr>
              <w:t>VPCQ</w:t>
            </w:r>
            <w:r w:rsidRPr="00F96571">
              <w:rPr>
                <w:rFonts w:ascii="Arial" w:hAnsi="Arial" w:cs="Arial"/>
              </w:rPr>
              <w:t xml:space="preserve"> </w:t>
            </w:r>
          </w:p>
        </w:tc>
        <w:tc>
          <w:tcPr>
            <w:tcW w:w="1739"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Pr>
                <w:rFonts w:ascii="Arial" w:hAnsi="Arial" w:cs="Arial"/>
              </w:rPr>
              <w:t>Sept. 2019</w:t>
            </w:r>
            <w:r w:rsidRPr="00F96571">
              <w:rPr>
                <w:rFonts w:ascii="Arial" w:hAnsi="Arial" w:cs="Arial"/>
              </w:rPr>
              <w:t xml:space="preserve"> </w:t>
            </w:r>
          </w:p>
        </w:tc>
      </w:tr>
      <w:tr w:rsidR="00F96571" w:rsidRPr="00F96571" w:rsidTr="00070C86">
        <w:trPr>
          <w:trHeight w:val="264"/>
        </w:trPr>
        <w:tc>
          <w:tcPr>
            <w:tcW w:w="1117"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 </w:t>
            </w:r>
            <w:r w:rsidR="00E32CDC">
              <w:rPr>
                <w:rFonts w:ascii="Arial" w:hAnsi="Arial" w:cs="Arial"/>
              </w:rPr>
              <w:t>1.1</w:t>
            </w:r>
          </w:p>
        </w:tc>
        <w:tc>
          <w:tcPr>
            <w:tcW w:w="4940" w:type="dxa"/>
            <w:tcBorders>
              <w:top w:val="single" w:sz="4" w:space="0" w:color="000000"/>
              <w:left w:val="single" w:sz="4" w:space="0" w:color="000000"/>
              <w:bottom w:val="single" w:sz="4" w:space="0" w:color="000000"/>
              <w:right w:val="single" w:sz="4" w:space="0" w:color="000000"/>
            </w:tcBorders>
          </w:tcPr>
          <w:p w:rsidR="00F96571" w:rsidRPr="00F96571" w:rsidRDefault="00E32CDC" w:rsidP="00E32CDC">
            <w:pPr>
              <w:rPr>
                <w:rFonts w:ascii="Arial" w:hAnsi="Arial" w:cs="Arial"/>
              </w:rPr>
            </w:pPr>
            <w:r>
              <w:rPr>
                <w:rFonts w:ascii="Arial" w:hAnsi="Arial" w:cs="Arial"/>
              </w:rPr>
              <w:t xml:space="preserve">Revised with </w:t>
            </w:r>
            <w:proofErr w:type="spellStart"/>
            <w:r>
              <w:rPr>
                <w:rFonts w:ascii="Arial" w:hAnsi="Arial" w:cs="Arial"/>
              </w:rPr>
              <w:t>UoN</w:t>
            </w:r>
            <w:proofErr w:type="spellEnd"/>
            <w:r>
              <w:rPr>
                <w:rFonts w:ascii="Arial" w:hAnsi="Arial" w:cs="Arial"/>
              </w:rPr>
              <w:t xml:space="preserve"> agreement</w:t>
            </w:r>
          </w:p>
        </w:tc>
        <w:tc>
          <w:tcPr>
            <w:tcW w:w="1411" w:type="dxa"/>
            <w:tcBorders>
              <w:top w:val="single" w:sz="4" w:space="0" w:color="000000"/>
              <w:left w:val="single" w:sz="4" w:space="0" w:color="000000"/>
              <w:bottom w:val="single" w:sz="4" w:space="0" w:color="000000"/>
              <w:right w:val="single" w:sz="4" w:space="0" w:color="000000"/>
            </w:tcBorders>
          </w:tcPr>
          <w:p w:rsidR="00F96571" w:rsidRPr="00F96571" w:rsidRDefault="00E32CDC" w:rsidP="0058437C">
            <w:pPr>
              <w:ind w:left="1"/>
              <w:rPr>
                <w:rFonts w:ascii="Arial" w:hAnsi="Arial" w:cs="Arial"/>
              </w:rPr>
            </w:pPr>
            <w:r>
              <w:rPr>
                <w:rFonts w:ascii="Arial" w:hAnsi="Arial" w:cs="Arial"/>
              </w:rPr>
              <w:t>VPCQ</w:t>
            </w:r>
          </w:p>
        </w:tc>
        <w:tc>
          <w:tcPr>
            <w:tcW w:w="1739" w:type="dxa"/>
            <w:tcBorders>
              <w:top w:val="single" w:sz="4" w:space="0" w:color="000000"/>
              <w:left w:val="single" w:sz="4" w:space="0" w:color="000000"/>
              <w:bottom w:val="single" w:sz="4" w:space="0" w:color="000000"/>
              <w:right w:val="single" w:sz="4" w:space="0" w:color="000000"/>
            </w:tcBorders>
          </w:tcPr>
          <w:p w:rsidR="00F96571" w:rsidRPr="00F96571" w:rsidRDefault="00E32CDC" w:rsidP="0058437C">
            <w:pPr>
              <w:ind w:left="1"/>
              <w:rPr>
                <w:rFonts w:ascii="Arial" w:hAnsi="Arial" w:cs="Arial"/>
              </w:rPr>
            </w:pPr>
            <w:r>
              <w:rPr>
                <w:rFonts w:ascii="Arial" w:hAnsi="Arial" w:cs="Arial"/>
              </w:rPr>
              <w:t>Feb. 2021</w:t>
            </w:r>
          </w:p>
        </w:tc>
      </w:tr>
      <w:tr w:rsidR="00F96571" w:rsidRPr="00F96571" w:rsidTr="00070C86">
        <w:trPr>
          <w:trHeight w:val="264"/>
        </w:trPr>
        <w:tc>
          <w:tcPr>
            <w:tcW w:w="1117"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 </w:t>
            </w:r>
          </w:p>
        </w:tc>
        <w:tc>
          <w:tcPr>
            <w:tcW w:w="494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sidRPr="00F96571">
              <w:rPr>
                <w:rFonts w:ascii="Arial" w:hAnsi="Arial" w:cs="Arial"/>
              </w:rPr>
              <w:t xml:space="preserve"> </w:t>
            </w:r>
          </w:p>
        </w:tc>
        <w:tc>
          <w:tcPr>
            <w:tcW w:w="1411"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sidRPr="00F96571">
              <w:rPr>
                <w:rFonts w:ascii="Arial" w:hAnsi="Arial" w:cs="Arial"/>
              </w:rPr>
              <w:t xml:space="preserve"> </w:t>
            </w:r>
          </w:p>
        </w:tc>
        <w:tc>
          <w:tcPr>
            <w:tcW w:w="1739"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sidRPr="00F96571">
              <w:rPr>
                <w:rFonts w:ascii="Arial" w:hAnsi="Arial" w:cs="Arial"/>
              </w:rPr>
              <w:t xml:space="preserve"> </w:t>
            </w:r>
          </w:p>
        </w:tc>
      </w:tr>
    </w:tbl>
    <w:p w:rsidR="00F96571" w:rsidRPr="00F96571" w:rsidRDefault="00F96571" w:rsidP="0058437C">
      <w:pPr>
        <w:spacing w:after="0" w:line="240" w:lineRule="auto"/>
        <w:rPr>
          <w:rFonts w:ascii="Arial" w:hAnsi="Arial" w:cs="Arial"/>
        </w:rPr>
      </w:pPr>
      <w:r w:rsidRPr="00F96571">
        <w:rPr>
          <w:rFonts w:ascii="Arial" w:hAnsi="Arial" w:cs="Arial"/>
          <w:b/>
        </w:rPr>
        <w:t xml:space="preserve"> </w:t>
      </w:r>
    </w:p>
    <w:p w:rsidR="00F96571" w:rsidRPr="00F96571" w:rsidRDefault="00F96571" w:rsidP="0058437C">
      <w:pPr>
        <w:pStyle w:val="Subtitle"/>
        <w:spacing w:line="240" w:lineRule="auto"/>
      </w:pPr>
      <w:r w:rsidRPr="00F96571">
        <w:t xml:space="preserve">Approval </w:t>
      </w:r>
    </w:p>
    <w:p w:rsidR="00F96571" w:rsidRPr="00F96571" w:rsidRDefault="00F96571" w:rsidP="0058437C">
      <w:pPr>
        <w:spacing w:after="0" w:line="240" w:lineRule="auto"/>
        <w:rPr>
          <w:rFonts w:ascii="Arial" w:hAnsi="Arial" w:cs="Arial"/>
        </w:rPr>
      </w:pPr>
      <w:r w:rsidRPr="00F96571">
        <w:rPr>
          <w:rFonts w:ascii="Arial" w:eastAsia="Calibri" w:hAnsi="Arial" w:cs="Arial"/>
        </w:rPr>
        <w:t xml:space="preserve"> </w:t>
      </w:r>
    </w:p>
    <w:tbl>
      <w:tblPr>
        <w:tblStyle w:val="TableGrid1"/>
        <w:tblW w:w="9208" w:type="dxa"/>
        <w:tblInd w:w="6" w:type="dxa"/>
        <w:tblCellMar>
          <w:top w:w="10" w:type="dxa"/>
          <w:left w:w="107" w:type="dxa"/>
          <w:right w:w="115" w:type="dxa"/>
        </w:tblCellMar>
        <w:tblLook w:val="04A0" w:firstRow="1" w:lastRow="0" w:firstColumn="1" w:lastColumn="0" w:noHBand="0" w:noVBand="1"/>
      </w:tblPr>
      <w:tblGrid>
        <w:gridCol w:w="3069"/>
        <w:gridCol w:w="3070"/>
        <w:gridCol w:w="3069"/>
      </w:tblGrid>
      <w:tr w:rsidR="00F96571" w:rsidRPr="00F96571" w:rsidTr="00070C86">
        <w:trPr>
          <w:trHeight w:val="384"/>
        </w:trPr>
        <w:tc>
          <w:tcPr>
            <w:tcW w:w="3069" w:type="dxa"/>
            <w:tcBorders>
              <w:top w:val="single" w:sz="4" w:space="0" w:color="000000"/>
              <w:left w:val="single" w:sz="4" w:space="0" w:color="000000"/>
              <w:bottom w:val="single" w:sz="4" w:space="0" w:color="000000"/>
              <w:right w:val="single" w:sz="4" w:space="0" w:color="000000"/>
            </w:tcBorders>
            <w:shd w:val="clear" w:color="auto" w:fill="BFBFBF"/>
          </w:tcPr>
          <w:p w:rsidR="00F96571" w:rsidRPr="00F96571" w:rsidRDefault="00F96571" w:rsidP="0058437C">
            <w:pPr>
              <w:rPr>
                <w:rFonts w:ascii="Arial" w:hAnsi="Arial" w:cs="Arial"/>
              </w:rPr>
            </w:pPr>
            <w:r w:rsidRPr="00F96571">
              <w:rPr>
                <w:rFonts w:ascii="Arial" w:hAnsi="Arial" w:cs="Arial"/>
                <w:b/>
              </w:rPr>
              <w:t xml:space="preserve">Approved By </w:t>
            </w:r>
          </w:p>
        </w:tc>
        <w:tc>
          <w:tcPr>
            <w:tcW w:w="3070" w:type="dxa"/>
            <w:tcBorders>
              <w:top w:val="single" w:sz="4" w:space="0" w:color="000000"/>
              <w:left w:val="single" w:sz="4" w:space="0" w:color="000000"/>
              <w:bottom w:val="single" w:sz="4" w:space="0" w:color="000000"/>
              <w:right w:val="single" w:sz="4" w:space="0" w:color="000000"/>
            </w:tcBorders>
            <w:shd w:val="clear" w:color="auto" w:fill="BFBFBF"/>
          </w:tcPr>
          <w:p w:rsidR="00F96571" w:rsidRPr="00F96571" w:rsidRDefault="00F96571" w:rsidP="0058437C">
            <w:pPr>
              <w:ind w:left="1"/>
              <w:rPr>
                <w:rFonts w:ascii="Arial" w:hAnsi="Arial" w:cs="Arial"/>
              </w:rPr>
            </w:pPr>
            <w:r w:rsidRPr="00F96571">
              <w:rPr>
                <w:rFonts w:ascii="Arial" w:hAnsi="Arial" w:cs="Arial"/>
                <w:b/>
              </w:rPr>
              <w:t xml:space="preserve">Meeting Date </w:t>
            </w:r>
          </w:p>
        </w:tc>
        <w:tc>
          <w:tcPr>
            <w:tcW w:w="3069" w:type="dxa"/>
            <w:tcBorders>
              <w:top w:val="single" w:sz="4" w:space="0" w:color="000000"/>
              <w:left w:val="single" w:sz="4" w:space="0" w:color="000000"/>
              <w:bottom w:val="single" w:sz="4" w:space="0" w:color="000000"/>
              <w:right w:val="single" w:sz="4" w:space="0" w:color="000000"/>
            </w:tcBorders>
            <w:shd w:val="clear" w:color="auto" w:fill="BFBFBF"/>
          </w:tcPr>
          <w:p w:rsidR="00F96571" w:rsidRPr="00F96571" w:rsidRDefault="00F96571" w:rsidP="0058437C">
            <w:pPr>
              <w:ind w:left="1"/>
              <w:rPr>
                <w:rFonts w:ascii="Arial" w:hAnsi="Arial" w:cs="Arial"/>
              </w:rPr>
            </w:pPr>
            <w:r w:rsidRPr="00F96571">
              <w:rPr>
                <w:rFonts w:ascii="Arial" w:hAnsi="Arial" w:cs="Arial"/>
                <w:b/>
              </w:rPr>
              <w:t xml:space="preserve">Next Review </w:t>
            </w:r>
          </w:p>
        </w:tc>
      </w:tr>
      <w:tr w:rsidR="00F96571" w:rsidRPr="00F96571" w:rsidTr="00070C86">
        <w:trPr>
          <w:trHeight w:val="374"/>
        </w:trPr>
        <w:tc>
          <w:tcPr>
            <w:tcW w:w="3069"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Senior Leadership Team </w:t>
            </w:r>
          </w:p>
        </w:tc>
        <w:tc>
          <w:tcPr>
            <w:tcW w:w="307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sidRPr="00F96571">
              <w:rPr>
                <w:rFonts w:ascii="Arial" w:hAnsi="Arial" w:cs="Arial"/>
              </w:rPr>
              <w:t xml:space="preserve"> </w:t>
            </w:r>
            <w:r w:rsidR="00E32CDC">
              <w:rPr>
                <w:rFonts w:ascii="Arial" w:hAnsi="Arial" w:cs="Arial"/>
              </w:rPr>
              <w:t>27 February 2020</w:t>
            </w:r>
          </w:p>
        </w:tc>
        <w:tc>
          <w:tcPr>
            <w:tcW w:w="3069"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ind w:left="1"/>
              <w:rPr>
                <w:rFonts w:ascii="Arial" w:hAnsi="Arial" w:cs="Arial"/>
              </w:rPr>
            </w:pPr>
            <w:r w:rsidRPr="00F96571">
              <w:rPr>
                <w:rFonts w:ascii="Arial" w:hAnsi="Arial" w:cs="Arial"/>
              </w:rPr>
              <w:t xml:space="preserve">July 2021 </w:t>
            </w:r>
          </w:p>
        </w:tc>
      </w:tr>
    </w:tbl>
    <w:p w:rsidR="00F96571" w:rsidRPr="00F96571" w:rsidRDefault="00F96571" w:rsidP="0058437C">
      <w:pPr>
        <w:spacing w:after="0" w:line="240" w:lineRule="auto"/>
        <w:rPr>
          <w:rFonts w:ascii="Arial" w:hAnsi="Arial" w:cs="Arial"/>
        </w:rPr>
      </w:pPr>
      <w:r w:rsidRPr="00F96571">
        <w:rPr>
          <w:rFonts w:ascii="Arial" w:hAnsi="Arial" w:cs="Arial"/>
          <w:b/>
        </w:rPr>
        <w:t xml:space="preserve"> </w:t>
      </w:r>
    </w:p>
    <w:p w:rsidR="00F96571" w:rsidRPr="00F96571" w:rsidRDefault="00F96571" w:rsidP="0058437C">
      <w:pPr>
        <w:pStyle w:val="Subtitle"/>
        <w:spacing w:line="240" w:lineRule="auto"/>
      </w:pPr>
      <w:r w:rsidRPr="00F96571">
        <w:t xml:space="preserve">Related Policies </w:t>
      </w:r>
    </w:p>
    <w:p w:rsidR="00F96571" w:rsidRPr="00F96571" w:rsidRDefault="00F96571" w:rsidP="0058437C">
      <w:pPr>
        <w:spacing w:after="0" w:line="240" w:lineRule="auto"/>
        <w:rPr>
          <w:rFonts w:ascii="Arial" w:hAnsi="Arial" w:cs="Arial"/>
        </w:rPr>
      </w:pPr>
      <w:r w:rsidRPr="00F96571">
        <w:rPr>
          <w:rFonts w:ascii="Arial" w:eastAsia="Calibri" w:hAnsi="Arial" w:cs="Arial"/>
        </w:rPr>
        <w:t xml:space="preserve"> </w:t>
      </w:r>
    </w:p>
    <w:tbl>
      <w:tblPr>
        <w:tblStyle w:val="TableGrid1"/>
        <w:tblW w:w="9208" w:type="dxa"/>
        <w:tblInd w:w="6" w:type="dxa"/>
        <w:tblCellMar>
          <w:top w:w="9" w:type="dxa"/>
          <w:left w:w="107" w:type="dxa"/>
          <w:right w:w="115" w:type="dxa"/>
        </w:tblCellMar>
        <w:tblLook w:val="04A0" w:firstRow="1" w:lastRow="0" w:firstColumn="1" w:lastColumn="0" w:noHBand="0" w:noVBand="1"/>
      </w:tblPr>
      <w:tblGrid>
        <w:gridCol w:w="1128"/>
        <w:gridCol w:w="8080"/>
      </w:tblGrid>
      <w:tr w:rsidR="00F96571" w:rsidRPr="00F96571" w:rsidTr="00070C86">
        <w:trPr>
          <w:trHeight w:val="392"/>
        </w:trPr>
        <w:tc>
          <w:tcPr>
            <w:tcW w:w="1128" w:type="dxa"/>
            <w:tcBorders>
              <w:top w:val="single" w:sz="4" w:space="0" w:color="000000"/>
              <w:left w:val="single" w:sz="4" w:space="0" w:color="000000"/>
              <w:bottom w:val="single" w:sz="4" w:space="0" w:color="000000"/>
              <w:right w:val="single" w:sz="4" w:space="0" w:color="000000"/>
            </w:tcBorders>
            <w:shd w:val="clear" w:color="auto" w:fill="BFBFBF"/>
          </w:tcPr>
          <w:p w:rsidR="00F96571" w:rsidRPr="00F96571" w:rsidRDefault="00F96571" w:rsidP="0058437C">
            <w:pPr>
              <w:rPr>
                <w:rFonts w:ascii="Arial" w:hAnsi="Arial" w:cs="Arial"/>
              </w:rPr>
            </w:pPr>
            <w:r w:rsidRPr="00F96571">
              <w:rPr>
                <w:rFonts w:ascii="Arial" w:hAnsi="Arial" w:cs="Arial"/>
                <w:b/>
              </w:rPr>
              <w:t xml:space="preserve">Ref </w:t>
            </w:r>
          </w:p>
        </w:tc>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F96571" w:rsidRPr="00F96571" w:rsidRDefault="00F96571" w:rsidP="0058437C">
            <w:pPr>
              <w:rPr>
                <w:rFonts w:ascii="Arial" w:hAnsi="Arial" w:cs="Arial"/>
              </w:rPr>
            </w:pPr>
            <w:r w:rsidRPr="00F96571">
              <w:rPr>
                <w:rFonts w:ascii="Arial" w:hAnsi="Arial" w:cs="Arial"/>
                <w:b/>
              </w:rPr>
              <w:t xml:space="preserve">Policy </w:t>
            </w:r>
          </w:p>
        </w:tc>
      </w:tr>
      <w:tr w:rsidR="00F96571" w:rsidRPr="00F96571" w:rsidTr="00070C86">
        <w:trPr>
          <w:trHeight w:val="265"/>
        </w:trPr>
        <w:tc>
          <w:tcPr>
            <w:tcW w:w="1128"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Equality and Diversity Policy  </w:t>
            </w:r>
          </w:p>
        </w:tc>
      </w:tr>
      <w:tr w:rsidR="00F96571" w:rsidRPr="00F96571" w:rsidTr="00070C86">
        <w:trPr>
          <w:trHeight w:val="264"/>
        </w:trPr>
        <w:tc>
          <w:tcPr>
            <w:tcW w:w="1128"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Stakeholder Feedback Policy </w:t>
            </w:r>
          </w:p>
        </w:tc>
      </w:tr>
      <w:tr w:rsidR="00F96571" w:rsidRPr="00F96571" w:rsidTr="00070C86">
        <w:trPr>
          <w:trHeight w:val="262"/>
        </w:trPr>
        <w:tc>
          <w:tcPr>
            <w:tcW w:w="1128"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Data Retention Policy </w:t>
            </w:r>
          </w:p>
        </w:tc>
      </w:tr>
      <w:tr w:rsidR="00F96571" w:rsidRPr="00F96571" w:rsidTr="00070C86">
        <w:trPr>
          <w:trHeight w:val="264"/>
        </w:trPr>
        <w:tc>
          <w:tcPr>
            <w:tcW w:w="1128"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F96571" w:rsidRPr="00F96571" w:rsidRDefault="00F96571" w:rsidP="0058437C">
            <w:pPr>
              <w:rPr>
                <w:rFonts w:ascii="Arial" w:hAnsi="Arial" w:cs="Arial"/>
              </w:rPr>
            </w:pPr>
            <w:r w:rsidRPr="00F96571">
              <w:rPr>
                <w:rFonts w:ascii="Arial" w:hAnsi="Arial" w:cs="Arial"/>
              </w:rPr>
              <w:t xml:space="preserve">Data Protection Policy </w:t>
            </w:r>
          </w:p>
        </w:tc>
      </w:tr>
    </w:tbl>
    <w:p w:rsidR="00F96571" w:rsidRPr="00F96571" w:rsidRDefault="00F96571" w:rsidP="0058437C">
      <w:pPr>
        <w:spacing w:after="0" w:line="240" w:lineRule="auto"/>
        <w:rPr>
          <w:rFonts w:ascii="Arial" w:hAnsi="Arial" w:cs="Arial"/>
        </w:rPr>
      </w:pPr>
      <w:r w:rsidRPr="00F96571">
        <w:rPr>
          <w:rFonts w:ascii="Arial" w:hAnsi="Arial" w:cs="Arial"/>
          <w:b/>
          <w:sz w:val="20"/>
        </w:rPr>
        <w:t xml:space="preserve"> </w:t>
      </w:r>
    </w:p>
    <w:p w:rsidR="00F96571" w:rsidRPr="00F96571" w:rsidRDefault="00F96571" w:rsidP="0058437C">
      <w:pPr>
        <w:pStyle w:val="Subtitle"/>
        <w:spacing w:line="240" w:lineRule="auto"/>
      </w:pPr>
      <w:r w:rsidRPr="00F96571">
        <w:t xml:space="preserve">Equality Impact Assessment </w:t>
      </w:r>
    </w:p>
    <w:p w:rsidR="00F96571" w:rsidRPr="00F96571" w:rsidRDefault="00F96571" w:rsidP="0058437C">
      <w:pPr>
        <w:spacing w:after="0" w:line="240" w:lineRule="auto"/>
        <w:rPr>
          <w:rFonts w:ascii="Arial" w:hAnsi="Arial" w:cs="Arial"/>
        </w:rPr>
      </w:pPr>
      <w:r w:rsidRPr="00F96571">
        <w:rPr>
          <w:rFonts w:ascii="Arial" w:eastAsia="Calibri" w:hAnsi="Arial" w:cs="Arial"/>
        </w:rPr>
        <w:t xml:space="preserve"> </w:t>
      </w:r>
    </w:p>
    <w:tbl>
      <w:tblPr>
        <w:tblStyle w:val="TableGrid1"/>
        <w:tblW w:w="9213" w:type="dxa"/>
        <w:tblInd w:w="1" w:type="dxa"/>
        <w:tblCellMar>
          <w:left w:w="107" w:type="dxa"/>
          <w:right w:w="115" w:type="dxa"/>
        </w:tblCellMar>
        <w:tblLook w:val="04A0" w:firstRow="1" w:lastRow="0" w:firstColumn="1" w:lastColumn="0" w:noHBand="0" w:noVBand="1"/>
      </w:tblPr>
      <w:tblGrid>
        <w:gridCol w:w="9213"/>
      </w:tblGrid>
      <w:tr w:rsidR="00F96571" w:rsidRPr="00F96571" w:rsidTr="00070C86">
        <w:trPr>
          <w:trHeight w:val="495"/>
        </w:trPr>
        <w:tc>
          <w:tcPr>
            <w:tcW w:w="921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96571" w:rsidRPr="00F96571" w:rsidRDefault="00F96571" w:rsidP="0058437C">
            <w:pPr>
              <w:rPr>
                <w:rFonts w:ascii="Arial" w:hAnsi="Arial" w:cs="Arial"/>
              </w:rPr>
            </w:pPr>
            <w:r w:rsidRPr="00F96571">
              <w:rPr>
                <w:rFonts w:ascii="Arial" w:hAnsi="Arial" w:cs="Arial"/>
                <w:b/>
              </w:rPr>
              <w:t>Equality Impact Assessment</w:t>
            </w:r>
            <w:r w:rsidRPr="00F96571">
              <w:rPr>
                <w:rFonts w:ascii="Arial" w:hAnsi="Arial" w:cs="Arial"/>
              </w:rPr>
              <w:t xml:space="preserve"> </w:t>
            </w:r>
          </w:p>
        </w:tc>
      </w:tr>
      <w:tr w:rsidR="00F96571" w:rsidRPr="00F96571" w:rsidTr="00070C86">
        <w:trPr>
          <w:trHeight w:val="1016"/>
        </w:trPr>
        <w:tc>
          <w:tcPr>
            <w:tcW w:w="9213" w:type="dxa"/>
            <w:tcBorders>
              <w:top w:val="single" w:sz="4" w:space="0" w:color="000000"/>
              <w:left w:val="single" w:sz="4" w:space="0" w:color="000000"/>
              <w:bottom w:val="single" w:sz="4" w:space="0" w:color="000000"/>
              <w:right w:val="single" w:sz="4" w:space="0" w:color="000000"/>
            </w:tcBorders>
            <w:vAlign w:val="center"/>
          </w:tcPr>
          <w:p w:rsidR="00F96571" w:rsidRPr="00F96571" w:rsidRDefault="00F96571" w:rsidP="0058437C">
            <w:pPr>
              <w:rPr>
                <w:rFonts w:ascii="Arial" w:hAnsi="Arial" w:cs="Arial"/>
              </w:rPr>
            </w:pPr>
            <w:r w:rsidRPr="00F96571">
              <w:rPr>
                <w:rFonts w:ascii="Arial" w:hAnsi="Arial" w:cs="Arial"/>
              </w:rPr>
              <w:t>The policy has undergone a</w:t>
            </w:r>
            <w:r w:rsidR="00263D7C">
              <w:rPr>
                <w:rFonts w:ascii="Arial" w:hAnsi="Arial" w:cs="Arial"/>
              </w:rPr>
              <w:t>n Equality Impact Assessment (E</w:t>
            </w:r>
            <w:r w:rsidRPr="00F96571">
              <w:rPr>
                <w:rFonts w:ascii="Arial" w:hAnsi="Arial" w:cs="Arial"/>
              </w:rPr>
              <w:t xml:space="preserve">IA) confirming that there are no negative consequences in the case of this policy. </w:t>
            </w:r>
          </w:p>
        </w:tc>
      </w:tr>
    </w:tbl>
    <w:p w:rsidR="0058437C" w:rsidRDefault="00F96571" w:rsidP="0058437C">
      <w:pPr>
        <w:spacing w:after="0" w:line="240" w:lineRule="auto"/>
        <w:rPr>
          <w:rFonts w:ascii="Arial" w:hAnsi="Arial" w:cs="Arial"/>
          <w:b/>
          <w:sz w:val="20"/>
        </w:rPr>
        <w:sectPr w:rsidR="0058437C" w:rsidSect="00F80661">
          <w:pgSz w:w="11906" w:h="16838"/>
          <w:pgMar w:top="1440" w:right="1440" w:bottom="1276" w:left="1440" w:header="708" w:footer="708" w:gutter="0"/>
          <w:cols w:space="708"/>
          <w:docGrid w:linePitch="360"/>
        </w:sectPr>
      </w:pPr>
      <w:r w:rsidRPr="00F96571">
        <w:rPr>
          <w:rFonts w:ascii="Arial" w:hAnsi="Arial" w:cs="Arial"/>
          <w:b/>
          <w:sz w:val="20"/>
        </w:rPr>
        <w:t xml:space="preserve"> </w:t>
      </w:r>
      <w:r w:rsidRPr="00F96571">
        <w:rPr>
          <w:rFonts w:ascii="Arial" w:hAnsi="Arial" w:cs="Arial"/>
          <w:b/>
          <w:sz w:val="20"/>
        </w:rPr>
        <w:tab/>
      </w:r>
    </w:p>
    <w:p w:rsidR="00F96571" w:rsidRPr="00D2692F" w:rsidRDefault="00F96571" w:rsidP="0058437C">
      <w:pPr>
        <w:spacing w:after="0" w:line="276" w:lineRule="auto"/>
        <w:rPr>
          <w:rFonts w:ascii="Arial" w:hAnsi="Arial" w:cs="Arial"/>
          <w:b/>
          <w:sz w:val="32"/>
        </w:rPr>
      </w:pPr>
      <w:r w:rsidRPr="00D2692F">
        <w:rPr>
          <w:rFonts w:ascii="Arial" w:hAnsi="Arial" w:cs="Arial"/>
          <w:b/>
          <w:sz w:val="32"/>
        </w:rPr>
        <w:lastRenderedPageBreak/>
        <w:t>Student Protection Plan</w:t>
      </w:r>
    </w:p>
    <w:p w:rsidR="00F96571" w:rsidRPr="00F96571" w:rsidRDefault="00F96571" w:rsidP="0058437C">
      <w:pPr>
        <w:spacing w:after="0" w:line="276" w:lineRule="auto"/>
        <w:rPr>
          <w:rFonts w:ascii="Arial" w:hAnsi="Arial" w:cs="Arial"/>
        </w:rPr>
      </w:pPr>
    </w:p>
    <w:p w:rsidR="00F96571" w:rsidRPr="00F96571" w:rsidRDefault="00F96571" w:rsidP="0058437C">
      <w:pPr>
        <w:pStyle w:val="Subtitle"/>
        <w:spacing w:line="276" w:lineRule="auto"/>
      </w:pPr>
      <w:r w:rsidRPr="00F96571">
        <w:t xml:space="preserve">Policy Statement </w:t>
      </w:r>
    </w:p>
    <w:p w:rsidR="00F96571" w:rsidRDefault="00F96571" w:rsidP="0058437C">
      <w:pPr>
        <w:spacing w:after="0" w:line="276" w:lineRule="auto"/>
      </w:pPr>
      <w:r>
        <w:rPr>
          <w:b/>
        </w:rPr>
        <w:t xml:space="preserve"> </w:t>
      </w:r>
    </w:p>
    <w:p w:rsidR="00F96571" w:rsidRDefault="00F96571" w:rsidP="0058437C">
      <w:pPr>
        <w:spacing w:after="0" w:line="276" w:lineRule="auto"/>
        <w:rPr>
          <w:rFonts w:ascii="Arial" w:hAnsi="Arial" w:cs="Arial"/>
          <w:b/>
          <w:sz w:val="32"/>
        </w:rPr>
      </w:pPr>
    </w:p>
    <w:p w:rsidR="00D2692F" w:rsidRDefault="00D2692F" w:rsidP="0058437C">
      <w:pPr>
        <w:spacing w:after="0" w:line="276" w:lineRule="auto"/>
        <w:rPr>
          <w:rFonts w:ascii="Arial" w:hAnsi="Arial" w:cs="Arial"/>
        </w:rPr>
      </w:pPr>
    </w:p>
    <w:p w:rsidR="00BB2106" w:rsidRPr="00D2692F" w:rsidRDefault="00BB2106" w:rsidP="0058437C">
      <w:pPr>
        <w:pStyle w:val="Subtitle"/>
        <w:spacing w:line="276" w:lineRule="auto"/>
      </w:pPr>
      <w:r w:rsidRPr="00D2692F">
        <w:t>Introduction</w:t>
      </w:r>
    </w:p>
    <w:p w:rsidR="00D2692F" w:rsidRDefault="00D2692F" w:rsidP="0058437C">
      <w:pPr>
        <w:spacing w:after="0" w:line="276" w:lineRule="auto"/>
        <w:rPr>
          <w:rFonts w:ascii="Arial" w:hAnsi="Arial" w:cs="Arial"/>
        </w:rPr>
      </w:pPr>
    </w:p>
    <w:p w:rsidR="00D2692F" w:rsidRDefault="00BB2106" w:rsidP="0058437C">
      <w:pPr>
        <w:pStyle w:val="ListParagraph"/>
        <w:numPr>
          <w:ilvl w:val="0"/>
          <w:numId w:val="5"/>
        </w:numPr>
        <w:spacing w:after="0" w:line="276" w:lineRule="auto"/>
        <w:rPr>
          <w:rFonts w:ascii="Arial" w:hAnsi="Arial" w:cs="Arial"/>
        </w:rPr>
      </w:pPr>
      <w:r w:rsidRPr="00D2692F">
        <w:rPr>
          <w:rFonts w:ascii="Arial" w:hAnsi="Arial" w:cs="Arial"/>
        </w:rPr>
        <w:t xml:space="preserve">This plan lays out the measures that </w:t>
      </w:r>
      <w:r w:rsidR="00F96571">
        <w:rPr>
          <w:rFonts w:ascii="Arial" w:hAnsi="Arial" w:cs="Arial"/>
        </w:rPr>
        <w:t>Moulton</w:t>
      </w:r>
      <w:r w:rsidRPr="00D2692F">
        <w:rPr>
          <w:rFonts w:ascii="Arial" w:hAnsi="Arial" w:cs="Arial"/>
        </w:rPr>
        <w:t xml:space="preserve"> College (“the College” or “we”) and its validating partner, the University of </w:t>
      </w:r>
      <w:r w:rsidR="00F96571">
        <w:rPr>
          <w:rFonts w:ascii="Arial" w:hAnsi="Arial" w:cs="Arial"/>
        </w:rPr>
        <w:t>Northampton</w:t>
      </w:r>
      <w:r w:rsidRPr="00D2692F">
        <w:rPr>
          <w:rFonts w:ascii="Arial" w:hAnsi="Arial" w:cs="Arial"/>
        </w:rPr>
        <w:t xml:space="preserve"> (“the University”), will take to protect the quality and continuation of study for our existing or prospective students (“you”) in the event of potential negative events, such as change or closure of a programme, or a campus.</w:t>
      </w:r>
    </w:p>
    <w:p w:rsidR="00D2692F" w:rsidRDefault="00D2692F" w:rsidP="0058437C">
      <w:pPr>
        <w:pStyle w:val="ListParagraph"/>
        <w:spacing w:after="0" w:line="276" w:lineRule="auto"/>
        <w:rPr>
          <w:rFonts w:ascii="Arial" w:hAnsi="Arial" w:cs="Arial"/>
        </w:rPr>
      </w:pPr>
    </w:p>
    <w:p w:rsidR="00D2692F" w:rsidRDefault="00BB2106" w:rsidP="0058437C">
      <w:pPr>
        <w:pStyle w:val="ListParagraph"/>
        <w:numPr>
          <w:ilvl w:val="0"/>
          <w:numId w:val="5"/>
        </w:numPr>
        <w:spacing w:after="0" w:line="276" w:lineRule="auto"/>
        <w:rPr>
          <w:rFonts w:ascii="Arial" w:hAnsi="Arial" w:cs="Arial"/>
        </w:rPr>
      </w:pPr>
      <w:r w:rsidRPr="00D2692F">
        <w:rPr>
          <w:rFonts w:ascii="Arial" w:hAnsi="Arial" w:cs="Arial"/>
        </w:rPr>
        <w:t>This plan has been approved by the College and is recognised by the University. We have assessed a range of risks to the continuation of your studies, including measures we will take to reduce, manage or respond to those risks. The main areas of risk and related measures are shown in section 3. The measures contained in this plan are in addition to your statutory rights.</w:t>
      </w:r>
    </w:p>
    <w:p w:rsidR="00D2692F" w:rsidRPr="00D2692F" w:rsidRDefault="00D2692F" w:rsidP="0058437C">
      <w:pPr>
        <w:pStyle w:val="ListParagraph"/>
        <w:spacing w:after="0" w:line="276" w:lineRule="auto"/>
        <w:rPr>
          <w:rFonts w:ascii="Arial" w:hAnsi="Arial" w:cs="Arial"/>
        </w:rPr>
      </w:pPr>
    </w:p>
    <w:p w:rsidR="00D2692F" w:rsidRDefault="00BB2106" w:rsidP="0058437C">
      <w:pPr>
        <w:pStyle w:val="ListParagraph"/>
        <w:numPr>
          <w:ilvl w:val="0"/>
          <w:numId w:val="5"/>
        </w:numPr>
        <w:spacing w:after="0" w:line="276" w:lineRule="auto"/>
        <w:rPr>
          <w:rFonts w:ascii="Arial" w:hAnsi="Arial" w:cs="Arial"/>
        </w:rPr>
      </w:pPr>
      <w:r w:rsidRPr="00D2692F">
        <w:rPr>
          <w:rFonts w:ascii="Arial" w:hAnsi="Arial" w:cs="Arial"/>
        </w:rPr>
        <w:t>Throughout this plan, an “on-course student” means one who is actively enrolled, pursuing their course and attending classes at the relevant point. This plan is made available to you as a prospective or on-course student and can be accessed publicly on the College’s website, is referred to in the Student-College contract and associated terms and conditions, and is located in the relevant Handbook and Information page on the VLE, accessible to on-course students.</w:t>
      </w:r>
    </w:p>
    <w:p w:rsidR="00D2692F" w:rsidRPr="00D2692F" w:rsidRDefault="00D2692F" w:rsidP="0058437C">
      <w:pPr>
        <w:pStyle w:val="ListParagraph"/>
        <w:spacing w:after="0" w:line="276" w:lineRule="auto"/>
        <w:rPr>
          <w:rFonts w:ascii="Arial" w:hAnsi="Arial" w:cs="Arial"/>
        </w:rPr>
      </w:pPr>
    </w:p>
    <w:p w:rsidR="00D2692F" w:rsidRDefault="00BB2106" w:rsidP="0058437C">
      <w:pPr>
        <w:pStyle w:val="ListParagraph"/>
        <w:numPr>
          <w:ilvl w:val="0"/>
          <w:numId w:val="5"/>
        </w:numPr>
        <w:spacing w:after="0" w:line="276" w:lineRule="auto"/>
        <w:rPr>
          <w:rFonts w:ascii="Arial" w:hAnsi="Arial" w:cs="Arial"/>
        </w:rPr>
      </w:pPr>
      <w:r w:rsidRPr="00D2692F">
        <w:rPr>
          <w:rFonts w:ascii="Arial" w:hAnsi="Arial" w:cs="Arial"/>
        </w:rPr>
        <w:t xml:space="preserve">This plan is accessible by our staff via the </w:t>
      </w:r>
      <w:r w:rsidR="00F96571">
        <w:rPr>
          <w:rFonts w:ascii="Arial" w:hAnsi="Arial" w:cs="Arial"/>
        </w:rPr>
        <w:t>college’s Staff Hub</w:t>
      </w:r>
      <w:r w:rsidRPr="00D2692F">
        <w:rPr>
          <w:rFonts w:ascii="Arial" w:hAnsi="Arial" w:cs="Arial"/>
        </w:rPr>
        <w:t xml:space="preserve">. It is also incorporated, where needed, in staff training and academic course reviews. It is reviewed annually by the College’s Senior </w:t>
      </w:r>
      <w:r w:rsidR="00F96571">
        <w:rPr>
          <w:rFonts w:ascii="Arial" w:hAnsi="Arial" w:cs="Arial"/>
        </w:rPr>
        <w:t>Leadership</w:t>
      </w:r>
      <w:r w:rsidRPr="00D2692F">
        <w:rPr>
          <w:rFonts w:ascii="Arial" w:hAnsi="Arial" w:cs="Arial"/>
        </w:rPr>
        <w:t xml:space="preserve"> Team</w:t>
      </w:r>
      <w:r w:rsidR="00F96571">
        <w:rPr>
          <w:rFonts w:ascii="Arial" w:hAnsi="Arial" w:cs="Arial"/>
        </w:rPr>
        <w:t xml:space="preserve"> (SLT)</w:t>
      </w:r>
      <w:r w:rsidRPr="00D2692F">
        <w:rPr>
          <w:rFonts w:ascii="Arial" w:hAnsi="Arial" w:cs="Arial"/>
        </w:rPr>
        <w:t xml:space="preserve"> in consultation with </w:t>
      </w:r>
      <w:r w:rsidR="00F96571">
        <w:rPr>
          <w:rFonts w:ascii="Arial" w:hAnsi="Arial" w:cs="Arial"/>
        </w:rPr>
        <w:t>our</w:t>
      </w:r>
      <w:r w:rsidRPr="00D2692F">
        <w:rPr>
          <w:rFonts w:ascii="Arial" w:hAnsi="Arial" w:cs="Arial"/>
        </w:rPr>
        <w:t xml:space="preserve"> Student Representative </w:t>
      </w:r>
      <w:r w:rsidR="00F96571">
        <w:rPr>
          <w:rFonts w:ascii="Arial" w:hAnsi="Arial" w:cs="Arial"/>
        </w:rPr>
        <w:t>group</w:t>
      </w:r>
      <w:r w:rsidRPr="00D2692F">
        <w:rPr>
          <w:rFonts w:ascii="Arial" w:hAnsi="Arial" w:cs="Arial"/>
        </w:rPr>
        <w:t>.</w:t>
      </w:r>
    </w:p>
    <w:p w:rsidR="00D2692F" w:rsidRPr="00D2692F" w:rsidRDefault="00D2692F" w:rsidP="0058437C">
      <w:pPr>
        <w:pStyle w:val="ListParagraph"/>
        <w:spacing w:after="0" w:line="276" w:lineRule="auto"/>
        <w:rPr>
          <w:rFonts w:ascii="Arial" w:hAnsi="Arial" w:cs="Arial"/>
        </w:rPr>
      </w:pPr>
    </w:p>
    <w:p w:rsidR="00BB2106" w:rsidRPr="00D2692F" w:rsidRDefault="00BB2106" w:rsidP="0058437C">
      <w:pPr>
        <w:pStyle w:val="ListParagraph"/>
        <w:numPr>
          <w:ilvl w:val="0"/>
          <w:numId w:val="5"/>
        </w:numPr>
        <w:spacing w:after="0" w:line="276" w:lineRule="auto"/>
        <w:rPr>
          <w:rFonts w:ascii="Arial" w:hAnsi="Arial" w:cs="Arial"/>
        </w:rPr>
      </w:pPr>
      <w:r w:rsidRPr="00D2692F">
        <w:rPr>
          <w:rFonts w:ascii="Arial" w:hAnsi="Arial" w:cs="Arial"/>
        </w:rPr>
        <w:t xml:space="preserve">If you wish to provide feedback regarding our management or implementation of this plan please follow the Complaints Procedure located in the relevant </w:t>
      </w:r>
      <w:r w:rsidR="00F96571">
        <w:rPr>
          <w:rFonts w:ascii="Arial" w:hAnsi="Arial" w:cs="Arial"/>
        </w:rPr>
        <w:t>policy, on the Staff Hub</w:t>
      </w:r>
      <w:r w:rsidRPr="00D2692F">
        <w:rPr>
          <w:rFonts w:ascii="Arial" w:hAnsi="Arial" w:cs="Arial"/>
        </w:rPr>
        <w:t xml:space="preserve"> and Information page on </w:t>
      </w:r>
      <w:r w:rsidR="00F96571">
        <w:rPr>
          <w:rFonts w:ascii="Arial" w:hAnsi="Arial" w:cs="Arial"/>
        </w:rPr>
        <w:t>Moodle</w:t>
      </w:r>
      <w:r w:rsidRPr="00D2692F">
        <w:rPr>
          <w:rFonts w:ascii="Arial" w:hAnsi="Arial" w:cs="Arial"/>
        </w:rPr>
        <w:t>.</w:t>
      </w:r>
    </w:p>
    <w:p w:rsidR="00D2692F" w:rsidRPr="00D2692F" w:rsidRDefault="00D2692F" w:rsidP="0058437C">
      <w:pPr>
        <w:spacing w:after="0" w:line="276" w:lineRule="auto"/>
        <w:rPr>
          <w:rFonts w:ascii="Arial" w:hAnsi="Arial" w:cs="Arial"/>
        </w:rPr>
      </w:pPr>
    </w:p>
    <w:p w:rsidR="00BB2106" w:rsidRPr="00D2692F" w:rsidRDefault="00BB2106" w:rsidP="0058437C">
      <w:pPr>
        <w:pStyle w:val="Subtitle"/>
        <w:spacing w:line="276" w:lineRule="auto"/>
      </w:pPr>
      <w:r w:rsidRPr="00D2692F">
        <w:t>Our commitment to you as an on-course student or prospective student</w:t>
      </w:r>
    </w:p>
    <w:p w:rsidR="00E328BC" w:rsidRDefault="00E328BC" w:rsidP="0058437C">
      <w:pPr>
        <w:spacing w:after="0" w:line="276" w:lineRule="auto"/>
        <w:rPr>
          <w:rFonts w:ascii="Arial" w:hAnsi="Arial" w:cs="Arial"/>
        </w:rPr>
      </w:pPr>
    </w:p>
    <w:p w:rsidR="00E328BC" w:rsidRPr="00BB4A6C" w:rsidRDefault="00BB2106" w:rsidP="0058437C">
      <w:pPr>
        <w:pStyle w:val="ListParagraph"/>
        <w:numPr>
          <w:ilvl w:val="0"/>
          <w:numId w:val="5"/>
        </w:numPr>
        <w:spacing w:after="0" w:line="276" w:lineRule="auto"/>
        <w:rPr>
          <w:rFonts w:ascii="Arial" w:hAnsi="Arial" w:cs="Arial"/>
        </w:rPr>
      </w:pPr>
      <w:r w:rsidRPr="00E328BC">
        <w:rPr>
          <w:rFonts w:ascii="Arial" w:hAnsi="Arial" w:cs="Arial"/>
        </w:rPr>
        <w:t xml:space="preserve">We will include student consultation and representation in making decisions in the operation of this plan. This will normally be through student representatives at Academic Board and Course </w:t>
      </w:r>
      <w:r w:rsidRPr="00BB4A6C">
        <w:rPr>
          <w:rFonts w:ascii="Arial" w:hAnsi="Arial" w:cs="Arial"/>
        </w:rPr>
        <w:t>Committees.</w:t>
      </w:r>
    </w:p>
    <w:p w:rsidR="00E328BC" w:rsidRPr="00BB4A6C" w:rsidRDefault="00E328BC" w:rsidP="0058437C">
      <w:pPr>
        <w:pStyle w:val="ListParagraph"/>
        <w:spacing w:after="0" w:line="276" w:lineRule="auto"/>
        <w:ind w:left="510"/>
        <w:rPr>
          <w:rFonts w:ascii="Arial" w:hAnsi="Arial" w:cs="Arial"/>
        </w:rPr>
      </w:pPr>
    </w:p>
    <w:p w:rsidR="00E328BC" w:rsidRPr="00BB4A6C" w:rsidRDefault="00BB2106" w:rsidP="0058437C">
      <w:pPr>
        <w:pStyle w:val="ListParagraph"/>
        <w:numPr>
          <w:ilvl w:val="0"/>
          <w:numId w:val="5"/>
        </w:numPr>
        <w:spacing w:after="0" w:line="276" w:lineRule="auto"/>
        <w:rPr>
          <w:rFonts w:ascii="Arial" w:hAnsi="Arial" w:cs="Arial"/>
        </w:rPr>
      </w:pPr>
      <w:r w:rsidRPr="00BB4A6C">
        <w:rPr>
          <w:rFonts w:ascii="Arial" w:hAnsi="Arial" w:cs="Arial"/>
        </w:rPr>
        <w:t xml:space="preserve">Should any aspect of this plan need to be triggered, you will be contacted by a member of the </w:t>
      </w:r>
      <w:r w:rsidR="00F96571" w:rsidRPr="00BB4A6C">
        <w:rPr>
          <w:rFonts w:ascii="Arial" w:hAnsi="Arial" w:cs="Arial"/>
        </w:rPr>
        <w:t xml:space="preserve">Student Services </w:t>
      </w:r>
      <w:r w:rsidR="00F96571" w:rsidRPr="005E202F">
        <w:rPr>
          <w:rFonts w:ascii="Arial" w:hAnsi="Arial" w:cs="Arial"/>
        </w:rPr>
        <w:t>team</w:t>
      </w:r>
      <w:r w:rsidRPr="005E202F">
        <w:rPr>
          <w:rFonts w:ascii="Arial" w:hAnsi="Arial" w:cs="Arial"/>
        </w:rPr>
        <w:t xml:space="preserve"> within </w:t>
      </w:r>
      <w:r w:rsidR="00584BEE">
        <w:rPr>
          <w:rFonts w:ascii="Arial" w:hAnsi="Arial" w:cs="Arial"/>
        </w:rPr>
        <w:t>one</w:t>
      </w:r>
      <w:r w:rsidRPr="005E202F">
        <w:rPr>
          <w:rFonts w:ascii="Arial" w:hAnsi="Arial" w:cs="Arial"/>
        </w:rPr>
        <w:t xml:space="preserve"> College working </w:t>
      </w:r>
      <w:r w:rsidR="00584BEE">
        <w:rPr>
          <w:rFonts w:ascii="Arial" w:hAnsi="Arial" w:cs="Arial"/>
        </w:rPr>
        <w:t xml:space="preserve">week (5 working </w:t>
      </w:r>
      <w:r w:rsidRPr="005E202F">
        <w:rPr>
          <w:rFonts w:ascii="Arial" w:hAnsi="Arial" w:cs="Arial"/>
        </w:rPr>
        <w:t>days</w:t>
      </w:r>
      <w:r w:rsidR="00584BEE">
        <w:rPr>
          <w:rFonts w:ascii="Arial" w:hAnsi="Arial" w:cs="Arial"/>
        </w:rPr>
        <w:t>)</w:t>
      </w:r>
      <w:r w:rsidRPr="005E202F">
        <w:rPr>
          <w:rFonts w:ascii="Arial" w:hAnsi="Arial" w:cs="Arial"/>
        </w:rPr>
        <w:t xml:space="preserve"> of</w:t>
      </w:r>
      <w:r w:rsidRPr="00BB4A6C">
        <w:rPr>
          <w:rFonts w:ascii="Arial" w:hAnsi="Arial" w:cs="Arial"/>
        </w:rPr>
        <w:t xml:space="preserve"> the date on which an applicable change was decided upon or notified to the College.</w:t>
      </w:r>
    </w:p>
    <w:p w:rsidR="00E328BC" w:rsidRPr="00E328BC" w:rsidRDefault="00E328BC" w:rsidP="0058437C">
      <w:pPr>
        <w:pStyle w:val="ListParagraph"/>
        <w:spacing w:after="0" w:line="276" w:lineRule="auto"/>
        <w:rPr>
          <w:rFonts w:ascii="Arial" w:hAnsi="Arial" w:cs="Arial"/>
        </w:rPr>
      </w:pP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lastRenderedPageBreak/>
        <w:t>As much as it is within our control, we will take reasonable steps to avoid implementing change during an academic year or making changes close t</w:t>
      </w:r>
      <w:r w:rsidR="00E328BC">
        <w:rPr>
          <w:rFonts w:ascii="Arial" w:hAnsi="Arial" w:cs="Arial"/>
        </w:rPr>
        <w:t>o the start of an academic year.</w:t>
      </w:r>
    </w:p>
    <w:p w:rsidR="00E328BC" w:rsidRPr="00E328BC" w:rsidRDefault="00E328BC" w:rsidP="0058437C">
      <w:pPr>
        <w:pStyle w:val="ListParagraph"/>
        <w:spacing w:after="0" w:line="276" w:lineRule="auto"/>
        <w:rPr>
          <w:rFonts w:ascii="Arial" w:hAnsi="Arial" w:cs="Arial"/>
        </w:rPr>
      </w:pP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In the event of programme closure, we will take reasonable steps to ensure that you, as an on-course student, may complete your current programme to its original timescale at the College.</w:t>
      </w:r>
    </w:p>
    <w:p w:rsidR="00E328BC" w:rsidRPr="00E328BC" w:rsidRDefault="00E328BC" w:rsidP="0058437C">
      <w:pPr>
        <w:pStyle w:val="ListParagraph"/>
        <w:spacing w:after="0" w:line="276" w:lineRule="auto"/>
        <w:rPr>
          <w:rFonts w:ascii="Arial" w:hAnsi="Arial" w:cs="Arial"/>
        </w:rPr>
      </w:pPr>
    </w:p>
    <w:p w:rsidR="005E202F" w:rsidRDefault="00BB2106" w:rsidP="005E202F">
      <w:pPr>
        <w:pStyle w:val="ListParagraph"/>
        <w:numPr>
          <w:ilvl w:val="0"/>
          <w:numId w:val="5"/>
        </w:numPr>
        <w:spacing w:after="0" w:line="276" w:lineRule="auto"/>
        <w:rPr>
          <w:rFonts w:ascii="Arial" w:hAnsi="Arial" w:cs="Arial"/>
        </w:rPr>
      </w:pPr>
      <w:r w:rsidRPr="00E328BC">
        <w:rPr>
          <w:rFonts w:ascii="Arial" w:hAnsi="Arial" w:cs="Arial"/>
        </w:rPr>
        <w:t>Where changes are such that you, as an on-course student, may not be able to complete your current programme, we will aim to ensure that you may continue your studies at the College for a “continuity period”; this is a period of continuity, lasting until the end of the current academic year, which gives time to explore</w:t>
      </w:r>
      <w:r w:rsidR="00E328BC">
        <w:rPr>
          <w:rFonts w:ascii="Arial" w:hAnsi="Arial" w:cs="Arial"/>
        </w:rPr>
        <w:t xml:space="preserve"> alternative feasible solutions.</w:t>
      </w:r>
    </w:p>
    <w:p w:rsidR="005E202F" w:rsidRDefault="005E202F" w:rsidP="005E202F">
      <w:pPr>
        <w:pStyle w:val="ListParagraph"/>
      </w:pPr>
    </w:p>
    <w:p w:rsidR="00E328BC" w:rsidRPr="005E202F" w:rsidRDefault="005E202F" w:rsidP="005E202F">
      <w:pPr>
        <w:pStyle w:val="ListParagraph"/>
        <w:numPr>
          <w:ilvl w:val="0"/>
          <w:numId w:val="5"/>
        </w:numPr>
        <w:spacing w:after="0" w:line="276" w:lineRule="auto"/>
        <w:rPr>
          <w:rFonts w:ascii="Arial" w:hAnsi="Arial" w:cs="Arial"/>
        </w:rPr>
      </w:pPr>
      <w:r w:rsidRPr="005E202F">
        <w:rPr>
          <w:rFonts w:ascii="Arial" w:hAnsi="Arial" w:cs="Arial"/>
        </w:rPr>
        <w:t>We will, with the support of the University as the awarding body, arrange for you, as an on-course student, to complete your studies with another provider or leave with an appropriate exit award at certificate or diploma level, should all other options be exhausted.</w:t>
      </w:r>
    </w:p>
    <w:p w:rsidR="005E202F" w:rsidRPr="005E202F" w:rsidRDefault="005E202F" w:rsidP="005E202F">
      <w:pPr>
        <w:spacing w:after="0" w:line="276" w:lineRule="auto"/>
        <w:rPr>
          <w:rFonts w:ascii="Arial" w:hAnsi="Arial" w:cs="Arial"/>
        </w:rPr>
      </w:pP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We will be supported in this plan by the University, and the College Board of Trustees will take reasonable steps to ensure that the College’s resources are appropriately deployed to fulfil its various responsibilities during any continuity period.</w:t>
      </w:r>
    </w:p>
    <w:p w:rsidR="00E328BC" w:rsidRPr="00E328BC" w:rsidRDefault="00E328BC" w:rsidP="0058437C">
      <w:pPr>
        <w:pStyle w:val="ListParagraph"/>
        <w:spacing w:after="0" w:line="276" w:lineRule="auto"/>
        <w:rPr>
          <w:rFonts w:ascii="Arial" w:hAnsi="Arial" w:cs="Arial"/>
        </w:rPr>
      </w:pP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 xml:space="preserve">We </w:t>
      </w:r>
      <w:r w:rsidRPr="005E202F">
        <w:rPr>
          <w:rFonts w:ascii="Arial" w:hAnsi="Arial" w:cs="Arial"/>
        </w:rPr>
        <w:t xml:space="preserve">undertake to update our website or </w:t>
      </w:r>
      <w:r w:rsidR="00F96571" w:rsidRPr="005E202F">
        <w:rPr>
          <w:rFonts w:ascii="Arial" w:hAnsi="Arial" w:cs="Arial"/>
        </w:rPr>
        <w:t>Moodle</w:t>
      </w:r>
      <w:r w:rsidRPr="005E202F">
        <w:rPr>
          <w:rFonts w:ascii="Arial" w:hAnsi="Arial" w:cs="Arial"/>
        </w:rPr>
        <w:t xml:space="preserve"> within </w:t>
      </w:r>
      <w:r w:rsidR="00584BEE">
        <w:rPr>
          <w:rFonts w:ascii="Arial" w:hAnsi="Arial" w:cs="Arial"/>
        </w:rPr>
        <w:t xml:space="preserve">one college working week (5 working </w:t>
      </w:r>
      <w:r w:rsidRPr="005E202F">
        <w:rPr>
          <w:rFonts w:ascii="Arial" w:hAnsi="Arial" w:cs="Arial"/>
        </w:rPr>
        <w:t>days</w:t>
      </w:r>
      <w:r w:rsidR="00584BEE">
        <w:rPr>
          <w:rFonts w:ascii="Arial" w:hAnsi="Arial" w:cs="Arial"/>
        </w:rPr>
        <w:t>)</w:t>
      </w:r>
      <w:r w:rsidRPr="005E202F">
        <w:rPr>
          <w:rFonts w:ascii="Arial" w:hAnsi="Arial" w:cs="Arial"/>
        </w:rPr>
        <w:t xml:space="preserve"> of a decision</w:t>
      </w:r>
      <w:r w:rsidRPr="00E328BC">
        <w:rPr>
          <w:rFonts w:ascii="Arial" w:hAnsi="Arial" w:cs="Arial"/>
        </w:rPr>
        <w:t xml:space="preserve"> or notification of significant change or closure, including all scenarios outlined below and anything that puts the College, as a whole, into a continuity period.</w:t>
      </w:r>
    </w:p>
    <w:p w:rsidR="00E328BC" w:rsidRPr="00E328BC" w:rsidRDefault="00E328BC" w:rsidP="0058437C">
      <w:pPr>
        <w:pStyle w:val="ListParagraph"/>
        <w:spacing w:after="0" w:line="276" w:lineRule="auto"/>
        <w:rPr>
          <w:rFonts w:ascii="Arial" w:hAnsi="Arial" w:cs="Arial"/>
        </w:rPr>
      </w:pPr>
    </w:p>
    <w:p w:rsidR="00BB2106" w:rsidRDefault="00BB2106" w:rsidP="0058437C">
      <w:pPr>
        <w:pStyle w:val="ListParagraph"/>
        <w:numPr>
          <w:ilvl w:val="0"/>
          <w:numId w:val="5"/>
        </w:numPr>
        <w:spacing w:after="0" w:line="276" w:lineRule="auto"/>
        <w:rPr>
          <w:rFonts w:ascii="Arial" w:hAnsi="Arial" w:cs="Arial"/>
        </w:rPr>
      </w:pPr>
      <w:r w:rsidRPr="00E328BC">
        <w:rPr>
          <w:rFonts w:ascii="Arial" w:hAnsi="Arial" w:cs="Arial"/>
        </w:rPr>
        <w:t>Where changes are such to render it impossible for you, as a prospective student, to study on your intended programme with intended financial support, we will endeavour to offer you a place on an alternative College programme, or if you are an existing offer- holder, to assist you in securing a place elsewhere and/or liaise with others with a view to facilitating a similar programme elsewhere. This includes all scenarios outlined below.</w:t>
      </w:r>
    </w:p>
    <w:p w:rsidR="00E328BC" w:rsidRPr="00E328BC" w:rsidRDefault="00E328BC" w:rsidP="0058437C">
      <w:pPr>
        <w:spacing w:after="0" w:line="276" w:lineRule="auto"/>
        <w:rPr>
          <w:rFonts w:ascii="Arial" w:hAnsi="Arial" w:cs="Arial"/>
        </w:rPr>
      </w:pPr>
    </w:p>
    <w:p w:rsidR="00BB2106" w:rsidRPr="00D2692F" w:rsidRDefault="00BB2106" w:rsidP="0058437C">
      <w:pPr>
        <w:pStyle w:val="Subtitle"/>
        <w:spacing w:line="276" w:lineRule="auto"/>
      </w:pPr>
      <w:r w:rsidRPr="00D2692F">
        <w:t>Measures we will take in specific situations</w:t>
      </w:r>
    </w:p>
    <w:p w:rsidR="00E328BC" w:rsidRDefault="00E328BC" w:rsidP="0058437C">
      <w:pPr>
        <w:spacing w:after="0" w:line="276" w:lineRule="auto"/>
        <w:rPr>
          <w:rFonts w:ascii="Arial" w:hAnsi="Arial" w:cs="Arial"/>
        </w:rPr>
      </w:pPr>
    </w:p>
    <w:p w:rsidR="00F96571" w:rsidRDefault="00BB2106" w:rsidP="0058437C">
      <w:pPr>
        <w:pStyle w:val="ListParagraph"/>
        <w:numPr>
          <w:ilvl w:val="0"/>
          <w:numId w:val="5"/>
        </w:numPr>
        <w:spacing w:after="0" w:line="276" w:lineRule="auto"/>
        <w:rPr>
          <w:rFonts w:ascii="Arial" w:hAnsi="Arial" w:cs="Arial"/>
        </w:rPr>
      </w:pPr>
      <w:r w:rsidRPr="00E328BC">
        <w:rPr>
          <w:rFonts w:ascii="Arial" w:hAnsi="Arial" w:cs="Arial"/>
        </w:rPr>
        <w:t xml:space="preserve">In the following paragraphs, a range of risks and scenarios are identified, along with the measures the College and the University will take to protect your continuity of study. </w:t>
      </w:r>
    </w:p>
    <w:p w:rsidR="00F96571" w:rsidRDefault="00F96571" w:rsidP="0058437C">
      <w:pPr>
        <w:pStyle w:val="ListParagraph"/>
        <w:spacing w:after="0" w:line="276" w:lineRule="auto"/>
        <w:ind w:left="510"/>
        <w:rPr>
          <w:rFonts w:ascii="Arial" w:hAnsi="Arial" w:cs="Arial"/>
        </w:rPr>
      </w:pPr>
    </w:p>
    <w:p w:rsidR="00F96571" w:rsidRDefault="00BB2106" w:rsidP="0058437C">
      <w:pPr>
        <w:pStyle w:val="ListParagraph"/>
        <w:numPr>
          <w:ilvl w:val="0"/>
          <w:numId w:val="5"/>
        </w:numPr>
        <w:spacing w:after="0" w:line="276" w:lineRule="auto"/>
        <w:rPr>
          <w:rFonts w:ascii="Arial" w:hAnsi="Arial" w:cs="Arial"/>
        </w:rPr>
      </w:pPr>
      <w:r w:rsidRPr="00E328BC">
        <w:rPr>
          <w:rFonts w:ascii="Arial" w:hAnsi="Arial" w:cs="Arial"/>
        </w:rPr>
        <w:t xml:space="preserve">These are in addition to, or by way of further detail on, the general commitments in </w:t>
      </w:r>
      <w:r w:rsidR="00F96571">
        <w:rPr>
          <w:rFonts w:ascii="Arial" w:hAnsi="Arial" w:cs="Arial"/>
        </w:rPr>
        <w:t>the previous section</w:t>
      </w:r>
      <w:r w:rsidRPr="00E328BC">
        <w:rPr>
          <w:rFonts w:ascii="Arial" w:hAnsi="Arial" w:cs="Arial"/>
        </w:rPr>
        <w:t>.</w:t>
      </w:r>
    </w:p>
    <w:p w:rsidR="00F96571" w:rsidRPr="00F96571" w:rsidRDefault="00F96571" w:rsidP="0058437C">
      <w:pPr>
        <w:pStyle w:val="ListParagraph"/>
        <w:spacing w:after="0" w:line="276" w:lineRule="auto"/>
        <w:rPr>
          <w:rFonts w:ascii="Arial" w:hAnsi="Arial" w:cs="Arial"/>
        </w:rPr>
      </w:pPr>
    </w:p>
    <w:p w:rsidR="00BB2106" w:rsidRP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Inclusion of a scenario should not be assumed to mean we consider it likely to occur.</w:t>
      </w:r>
    </w:p>
    <w:p w:rsidR="00E328BC" w:rsidRDefault="00E328BC" w:rsidP="0058437C">
      <w:pPr>
        <w:spacing w:after="0" w:line="276" w:lineRule="auto"/>
        <w:rPr>
          <w:rFonts w:ascii="Arial" w:hAnsi="Arial" w:cs="Arial"/>
        </w:rPr>
      </w:pPr>
    </w:p>
    <w:p w:rsidR="005644D6" w:rsidRDefault="005644D6" w:rsidP="0058437C">
      <w:pPr>
        <w:spacing w:after="0" w:line="276" w:lineRule="auto"/>
        <w:rPr>
          <w:rFonts w:ascii="Arial" w:hAnsi="Arial" w:cs="Arial"/>
        </w:rPr>
      </w:pPr>
    </w:p>
    <w:p w:rsidR="005644D6" w:rsidRDefault="005644D6" w:rsidP="0058437C">
      <w:pPr>
        <w:spacing w:after="0" w:line="276" w:lineRule="auto"/>
        <w:rPr>
          <w:rFonts w:ascii="Arial" w:hAnsi="Arial" w:cs="Arial"/>
        </w:rPr>
      </w:pPr>
    </w:p>
    <w:p w:rsidR="005644D6" w:rsidRDefault="005644D6" w:rsidP="0058437C">
      <w:pPr>
        <w:spacing w:after="0" w:line="276" w:lineRule="auto"/>
        <w:rPr>
          <w:rFonts w:ascii="Arial" w:hAnsi="Arial" w:cs="Arial"/>
        </w:rPr>
      </w:pPr>
    </w:p>
    <w:p w:rsidR="00E328BC" w:rsidRDefault="00BB2106" w:rsidP="0058437C">
      <w:pPr>
        <w:pStyle w:val="Subtitle"/>
        <w:spacing w:line="276" w:lineRule="auto"/>
      </w:pPr>
      <w:r w:rsidRPr="00D2692F">
        <w:lastRenderedPageBreak/>
        <w:t>Updating of programme content, regulations and policies</w:t>
      </w:r>
      <w:r w:rsidRPr="00D2692F">
        <w:br/>
      </w: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An ongoing commitment of the College and the University to quality assurance and enhancement means that, from time to time, programme content, University regulations and College policies will be updated.</w:t>
      </w:r>
    </w:p>
    <w:p w:rsidR="005644D6" w:rsidRDefault="005644D6" w:rsidP="005644D6">
      <w:pPr>
        <w:pStyle w:val="ListParagraph"/>
        <w:spacing w:after="0" w:line="276" w:lineRule="auto"/>
        <w:ind w:left="510"/>
        <w:rPr>
          <w:rFonts w:ascii="Arial" w:hAnsi="Arial" w:cs="Arial"/>
        </w:rPr>
      </w:pP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Where updates to programme content are made (for example substitution of modules, changes to module content or assessment activities), these wil</w:t>
      </w:r>
      <w:r w:rsidR="00F96571">
        <w:rPr>
          <w:rFonts w:ascii="Arial" w:hAnsi="Arial" w:cs="Arial"/>
        </w:rPr>
        <w:t xml:space="preserve">l be proposed via the College </w:t>
      </w:r>
      <w:r w:rsidRPr="00E328BC">
        <w:rPr>
          <w:rFonts w:ascii="Arial" w:hAnsi="Arial" w:cs="Arial"/>
        </w:rPr>
        <w:t>and Academic Board, where students are represented, before approval by the University.</w:t>
      </w:r>
    </w:p>
    <w:p w:rsidR="00E328BC" w:rsidRPr="00E328BC" w:rsidRDefault="00BB2106" w:rsidP="0058437C">
      <w:pPr>
        <w:spacing w:after="0" w:line="276" w:lineRule="auto"/>
        <w:rPr>
          <w:rFonts w:ascii="Arial" w:hAnsi="Arial" w:cs="Arial"/>
        </w:rPr>
      </w:pPr>
      <w:r w:rsidRPr="00E328BC">
        <w:rPr>
          <w:rFonts w:ascii="Arial" w:hAnsi="Arial" w:cs="Arial"/>
        </w:rPr>
        <w:t xml:space="preserve"> </w:t>
      </w:r>
    </w:p>
    <w:p w:rsidR="00F96571" w:rsidRDefault="00BB2106" w:rsidP="0058437C">
      <w:pPr>
        <w:pStyle w:val="ListParagraph"/>
        <w:numPr>
          <w:ilvl w:val="0"/>
          <w:numId w:val="5"/>
        </w:numPr>
        <w:spacing w:after="0" w:line="276" w:lineRule="auto"/>
        <w:rPr>
          <w:rFonts w:ascii="Arial" w:hAnsi="Arial" w:cs="Arial"/>
        </w:rPr>
      </w:pPr>
      <w:r w:rsidRPr="00E328BC">
        <w:rPr>
          <w:rFonts w:ascii="Arial" w:hAnsi="Arial" w:cs="Arial"/>
        </w:rPr>
        <w:t xml:space="preserve">The College will aim to avoid making any changes to advertised programme content within three months of the start of the first academic year affected. </w:t>
      </w:r>
    </w:p>
    <w:p w:rsidR="00F96571" w:rsidRPr="00F96571" w:rsidRDefault="00F96571" w:rsidP="0058437C">
      <w:pPr>
        <w:pStyle w:val="ListParagraph"/>
        <w:spacing w:after="0" w:line="276" w:lineRule="auto"/>
        <w:rPr>
          <w:rFonts w:ascii="Arial" w:hAnsi="Arial" w:cs="Arial"/>
        </w:rPr>
      </w:pPr>
    </w:p>
    <w:p w:rsidR="00F96571" w:rsidRDefault="00BB2106" w:rsidP="0058437C">
      <w:pPr>
        <w:pStyle w:val="ListParagraph"/>
        <w:numPr>
          <w:ilvl w:val="0"/>
          <w:numId w:val="5"/>
        </w:numPr>
        <w:spacing w:after="0" w:line="276" w:lineRule="auto"/>
        <w:rPr>
          <w:rFonts w:ascii="Arial" w:hAnsi="Arial" w:cs="Arial"/>
        </w:rPr>
      </w:pPr>
      <w:r w:rsidRPr="00E328BC">
        <w:rPr>
          <w:rFonts w:ascii="Arial" w:hAnsi="Arial" w:cs="Arial"/>
        </w:rPr>
        <w:t xml:space="preserve">Changes to University regulations shall normally apply only to students who first enrol after approval of those revisions, unless the changes are not deemed significant or are clearly in your interest. Thus, different regulations may apply to different cohorts on a programme, and shall be documented in the Programme Handbook as for that cohort. </w:t>
      </w:r>
    </w:p>
    <w:p w:rsidR="00F96571" w:rsidRPr="00F96571" w:rsidRDefault="00F96571" w:rsidP="0058437C">
      <w:pPr>
        <w:pStyle w:val="ListParagraph"/>
        <w:spacing w:after="0" w:line="276" w:lineRule="auto"/>
        <w:rPr>
          <w:rFonts w:ascii="Arial" w:hAnsi="Arial" w:cs="Arial"/>
        </w:rPr>
      </w:pPr>
    </w:p>
    <w:p w:rsidR="00BB2106" w:rsidRP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Normally, new or revised College policies shall apply to all students from the start of the academic year following approval by the College’s Academic Board, with the exception that any changes advantageous to you may be introduced during an academic year.</w:t>
      </w:r>
    </w:p>
    <w:p w:rsidR="00E328BC" w:rsidRDefault="00E328BC" w:rsidP="0058437C">
      <w:pPr>
        <w:spacing w:after="0" w:line="276" w:lineRule="auto"/>
        <w:rPr>
          <w:rFonts w:ascii="Arial" w:hAnsi="Arial" w:cs="Arial"/>
        </w:rPr>
      </w:pPr>
    </w:p>
    <w:p w:rsidR="00E328BC" w:rsidRDefault="00BB2106" w:rsidP="0058437C">
      <w:pPr>
        <w:pStyle w:val="Subtitle"/>
        <w:spacing w:line="276" w:lineRule="auto"/>
      </w:pPr>
      <w:r w:rsidRPr="00D2692F">
        <w:t>Closure of an individual programme</w:t>
      </w:r>
      <w:r w:rsidRPr="00D2692F">
        <w:br/>
      </w:r>
    </w:p>
    <w:p w:rsidR="00E328BC" w:rsidRDefault="00BB2106" w:rsidP="0058437C">
      <w:pPr>
        <w:pStyle w:val="ListParagraph"/>
        <w:numPr>
          <w:ilvl w:val="0"/>
          <w:numId w:val="5"/>
        </w:numPr>
        <w:spacing w:after="0" w:line="276" w:lineRule="auto"/>
        <w:rPr>
          <w:rFonts w:ascii="Arial" w:hAnsi="Arial" w:cs="Arial"/>
        </w:rPr>
      </w:pPr>
      <w:r w:rsidRPr="00E328BC">
        <w:rPr>
          <w:rFonts w:ascii="Arial" w:hAnsi="Arial" w:cs="Arial"/>
        </w:rPr>
        <w:t>On strategic, resource, academic or student experience grounds, it may be necessary to close a programme. In such cases and where possible, the College will offer you, as an on- course student, a choice of options, noting that the College will aim to avoid closing a programme within three months of the start of an academic year:</w:t>
      </w:r>
      <w:r w:rsidRPr="00E328BC">
        <w:rPr>
          <w:rFonts w:ascii="Arial" w:hAnsi="Arial" w:cs="Arial"/>
        </w:rPr>
        <w:br/>
      </w:r>
    </w:p>
    <w:p w:rsidR="00E328BC" w:rsidRPr="00BB4A6C" w:rsidRDefault="00BB2106" w:rsidP="00584BEE">
      <w:pPr>
        <w:pStyle w:val="ListParagraph"/>
        <w:numPr>
          <w:ilvl w:val="0"/>
          <w:numId w:val="17"/>
        </w:numPr>
        <w:spacing w:after="0" w:line="276" w:lineRule="auto"/>
        <w:ind w:left="870"/>
        <w:rPr>
          <w:rFonts w:ascii="Arial" w:hAnsi="Arial" w:cs="Arial"/>
        </w:rPr>
      </w:pPr>
      <w:r w:rsidRPr="00BB4A6C">
        <w:rPr>
          <w:rFonts w:ascii="Arial" w:hAnsi="Arial" w:cs="Arial"/>
        </w:rPr>
        <w:t>to continue as planned to be “taught out” on the original programme, where the College considers this to be a viable option on academic, student experience and financial grounds, noting that this may itself be subject to the number of students so electing. Where this is not viable, the College will aim to enable you, as an on-course student, to continue with your current programme for the remainder of the academic year in which communication of the decision to close the programme is made, provided this gives you notice of at least three months. Where the decision is communicated within three months or less of the end of an academic year (</w:t>
      </w:r>
      <w:r w:rsidR="00F96571" w:rsidRPr="00BB4A6C">
        <w:rPr>
          <w:rFonts w:ascii="Arial" w:hAnsi="Arial" w:cs="Arial"/>
        </w:rPr>
        <w:t>i.e.</w:t>
      </w:r>
      <w:r w:rsidRPr="00BB4A6C">
        <w:rPr>
          <w:rFonts w:ascii="Arial" w:hAnsi="Arial" w:cs="Arial"/>
        </w:rPr>
        <w:t xml:space="preserve"> 31 August), we will aim to enable you, as an on-course student, to continue with your current programme for the remainder of that academic year and for the whole of the following academic year.</w:t>
      </w:r>
    </w:p>
    <w:p w:rsidR="00E328BC" w:rsidRDefault="00E328BC" w:rsidP="00584BEE">
      <w:pPr>
        <w:pStyle w:val="ListParagraph"/>
        <w:spacing w:after="0" w:line="276" w:lineRule="auto"/>
        <w:ind w:left="281"/>
        <w:rPr>
          <w:rFonts w:ascii="Arial" w:hAnsi="Arial" w:cs="Arial"/>
        </w:rPr>
      </w:pPr>
    </w:p>
    <w:p w:rsidR="00E328BC" w:rsidRPr="00BB4A6C" w:rsidRDefault="00BB2106" w:rsidP="00584BEE">
      <w:pPr>
        <w:pStyle w:val="ListParagraph"/>
        <w:numPr>
          <w:ilvl w:val="0"/>
          <w:numId w:val="17"/>
        </w:numPr>
        <w:spacing w:after="0" w:line="276" w:lineRule="auto"/>
        <w:ind w:left="870"/>
        <w:rPr>
          <w:rFonts w:ascii="Arial" w:hAnsi="Arial" w:cs="Arial"/>
        </w:rPr>
      </w:pPr>
      <w:r w:rsidRPr="00BB4A6C">
        <w:rPr>
          <w:rFonts w:ascii="Arial" w:hAnsi="Arial" w:cs="Arial"/>
        </w:rPr>
        <w:t>to transfer to a similar or replacement College programme, where available.</w:t>
      </w:r>
    </w:p>
    <w:p w:rsidR="00E328BC" w:rsidRPr="00E328BC" w:rsidRDefault="00E328BC" w:rsidP="00584BEE">
      <w:pPr>
        <w:spacing w:after="0" w:line="276" w:lineRule="auto"/>
        <w:rPr>
          <w:rFonts w:ascii="Arial" w:hAnsi="Arial" w:cs="Arial"/>
        </w:rPr>
      </w:pPr>
    </w:p>
    <w:p w:rsidR="00E328BC" w:rsidRDefault="00320BBD" w:rsidP="00584BEE">
      <w:pPr>
        <w:pStyle w:val="ListParagraph"/>
        <w:numPr>
          <w:ilvl w:val="0"/>
          <w:numId w:val="17"/>
        </w:numPr>
        <w:spacing w:after="0" w:line="276" w:lineRule="auto"/>
        <w:ind w:left="870"/>
        <w:rPr>
          <w:rFonts w:ascii="Arial" w:hAnsi="Arial" w:cs="Arial"/>
        </w:rPr>
      </w:pPr>
      <w:r>
        <w:rPr>
          <w:rFonts w:ascii="Arial" w:hAnsi="Arial" w:cs="Arial"/>
        </w:rPr>
        <w:t>t</w:t>
      </w:r>
      <w:r w:rsidR="005E202F" w:rsidRPr="00320BBD">
        <w:rPr>
          <w:rFonts w:ascii="Arial" w:hAnsi="Arial" w:cs="Arial"/>
        </w:rPr>
        <w:t xml:space="preserve">o transfer with the College’s assistance and the support of the University as awarding body, to a programme either at the University, </w:t>
      </w:r>
      <w:r w:rsidR="005E202F" w:rsidRPr="00320BBD">
        <w:rPr>
          <w:rFonts w:ascii="Arial" w:hAnsi="Arial" w:cs="Arial"/>
          <w:i/>
        </w:rPr>
        <w:t>in the event that there is a comparable programme</w:t>
      </w:r>
      <w:r w:rsidR="005E202F" w:rsidRPr="00320BBD">
        <w:rPr>
          <w:rFonts w:ascii="Arial" w:hAnsi="Arial" w:cs="Arial"/>
        </w:rPr>
        <w:t xml:space="preserve">, or to another provider in discussion between the University and the College (if neither a nor b are possible).  </w:t>
      </w:r>
    </w:p>
    <w:p w:rsidR="00320BBD" w:rsidRPr="00320BBD" w:rsidRDefault="00320BBD" w:rsidP="00584BEE">
      <w:pPr>
        <w:pStyle w:val="ListParagraph"/>
        <w:ind w:left="150"/>
        <w:rPr>
          <w:rFonts w:ascii="Arial" w:hAnsi="Arial" w:cs="Arial"/>
        </w:rPr>
      </w:pPr>
    </w:p>
    <w:p w:rsidR="00320BBD" w:rsidRPr="00321064" w:rsidRDefault="00320BBD" w:rsidP="00584BEE">
      <w:pPr>
        <w:pStyle w:val="ListParagraph"/>
        <w:numPr>
          <w:ilvl w:val="0"/>
          <w:numId w:val="17"/>
        </w:numPr>
        <w:spacing w:after="0" w:line="276" w:lineRule="auto"/>
        <w:ind w:left="870"/>
        <w:rPr>
          <w:rFonts w:ascii="Arial" w:hAnsi="Arial" w:cs="Arial"/>
        </w:rPr>
      </w:pPr>
      <w:r>
        <w:rPr>
          <w:rFonts w:ascii="Arial" w:hAnsi="Arial" w:cs="Arial"/>
        </w:rPr>
        <w:t>In the event that neither a,</w:t>
      </w:r>
      <w:r w:rsidR="005644D6">
        <w:rPr>
          <w:rFonts w:ascii="Arial" w:hAnsi="Arial" w:cs="Arial"/>
        </w:rPr>
        <w:t xml:space="preserve"> </w:t>
      </w:r>
      <w:r>
        <w:rPr>
          <w:rFonts w:ascii="Arial" w:hAnsi="Arial" w:cs="Arial"/>
        </w:rPr>
        <w:t xml:space="preserve">b or c is possible, to enable the on-course student to leave with the appropriate exit award. </w:t>
      </w:r>
    </w:p>
    <w:p w:rsidR="00320BBD" w:rsidRPr="00320BBD" w:rsidRDefault="00320BBD" w:rsidP="00320BBD">
      <w:pPr>
        <w:pStyle w:val="ListParagraph"/>
        <w:spacing w:after="0" w:line="276" w:lineRule="auto"/>
        <w:ind w:left="1440"/>
        <w:rPr>
          <w:rFonts w:ascii="Arial" w:hAnsi="Arial" w:cs="Arial"/>
        </w:rPr>
      </w:pPr>
    </w:p>
    <w:p w:rsidR="00E328BC" w:rsidRPr="00E328BC" w:rsidRDefault="00BB2106" w:rsidP="0058437C">
      <w:pPr>
        <w:pStyle w:val="Subtitle"/>
        <w:spacing w:line="276" w:lineRule="auto"/>
      </w:pPr>
      <w:r w:rsidRPr="00E328BC">
        <w:t>Closure of a specific site or campus</w:t>
      </w:r>
      <w:r w:rsidRPr="00E328BC">
        <w:br/>
      </w:r>
    </w:p>
    <w:p w:rsidR="00817BEC" w:rsidRPr="00321064" w:rsidRDefault="00BB2106" w:rsidP="00321064">
      <w:pPr>
        <w:pStyle w:val="ListParagraph"/>
        <w:numPr>
          <w:ilvl w:val="0"/>
          <w:numId w:val="18"/>
        </w:numPr>
        <w:spacing w:after="0" w:line="276" w:lineRule="auto"/>
        <w:rPr>
          <w:rFonts w:ascii="Arial" w:hAnsi="Arial" w:cs="Arial"/>
        </w:rPr>
      </w:pPr>
      <w:r w:rsidRPr="00321064">
        <w:rPr>
          <w:rFonts w:ascii="Arial" w:hAnsi="Arial" w:cs="Arial"/>
        </w:rPr>
        <w:t xml:space="preserve">On strategic, resource, academic, student experience or health and safety grounds, it may be necessary to close a site or campus and/or move programmes between sites. </w:t>
      </w:r>
    </w:p>
    <w:p w:rsidR="00817BEC" w:rsidRDefault="00817BEC" w:rsidP="0058437C">
      <w:pPr>
        <w:pStyle w:val="ListParagraph"/>
        <w:spacing w:after="0" w:line="276" w:lineRule="auto"/>
        <w:ind w:left="510"/>
        <w:rPr>
          <w:rFonts w:ascii="Arial" w:hAnsi="Arial" w:cs="Arial"/>
        </w:rPr>
      </w:pPr>
    </w:p>
    <w:p w:rsidR="00817BEC" w:rsidRDefault="00BB2106" w:rsidP="00321064">
      <w:pPr>
        <w:pStyle w:val="ListParagraph"/>
        <w:numPr>
          <w:ilvl w:val="0"/>
          <w:numId w:val="18"/>
        </w:numPr>
        <w:spacing w:after="0" w:line="276" w:lineRule="auto"/>
        <w:rPr>
          <w:rFonts w:ascii="Arial" w:hAnsi="Arial" w:cs="Arial"/>
        </w:rPr>
      </w:pPr>
      <w:r w:rsidRPr="00E328BC">
        <w:rPr>
          <w:rFonts w:ascii="Arial" w:hAnsi="Arial" w:cs="Arial"/>
        </w:rPr>
        <w:t>Unless taken on the grounds of emergency relocat</w:t>
      </w:r>
      <w:r w:rsidR="00321064">
        <w:rPr>
          <w:rFonts w:ascii="Arial" w:hAnsi="Arial" w:cs="Arial"/>
        </w:rPr>
        <w:t>ion due to unanticipated events</w:t>
      </w:r>
      <w:r w:rsidRPr="00E328BC">
        <w:rPr>
          <w:rFonts w:ascii="Arial" w:hAnsi="Arial" w:cs="Arial"/>
        </w:rPr>
        <w:t xml:space="preserve"> or on the grounds of a material improvement of facilities, the College will avoid closing a site or relocating a programme either while teaching is underway for the academic year in which a decision is made, or within a month of the start of an academic year. </w:t>
      </w:r>
    </w:p>
    <w:p w:rsidR="00817BEC" w:rsidRPr="00817BEC" w:rsidRDefault="00817BEC" w:rsidP="0058437C">
      <w:pPr>
        <w:pStyle w:val="ListParagraph"/>
        <w:spacing w:after="0" w:line="276" w:lineRule="auto"/>
        <w:rPr>
          <w:rFonts w:ascii="Arial" w:hAnsi="Arial" w:cs="Arial"/>
        </w:rPr>
      </w:pPr>
    </w:p>
    <w:p w:rsid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Where a site is closed or programme relocated,</w:t>
      </w:r>
      <w:r w:rsidR="00321064">
        <w:rPr>
          <w:rFonts w:ascii="Arial" w:hAnsi="Arial" w:cs="Arial"/>
        </w:rPr>
        <w:t xml:space="preserve"> programmes and services affecte</w:t>
      </w:r>
      <w:r w:rsidRPr="00E328BC">
        <w:rPr>
          <w:rFonts w:ascii="Arial" w:hAnsi="Arial" w:cs="Arial"/>
        </w:rPr>
        <w:t>d will be delivered instead at appropriate alternative College premises that are relevant and designated for student support purposes. You will be expected to attend those alternative premises, and consideration will be given to reimbursing you with reasonable additional travel expenses.</w:t>
      </w:r>
    </w:p>
    <w:p w:rsidR="0058437C" w:rsidRDefault="0058437C" w:rsidP="0058437C">
      <w:pPr>
        <w:pStyle w:val="Subtitle"/>
        <w:spacing w:line="276" w:lineRule="auto"/>
      </w:pPr>
    </w:p>
    <w:p w:rsidR="00E328BC" w:rsidRPr="006F13BC" w:rsidRDefault="00BB2106" w:rsidP="0058437C">
      <w:pPr>
        <w:pStyle w:val="Subtitle"/>
        <w:spacing w:line="276" w:lineRule="auto"/>
        <w:rPr>
          <w:sz w:val="20"/>
        </w:rPr>
      </w:pPr>
      <w:r w:rsidRPr="00817BEC">
        <w:t xml:space="preserve">De-designation for student support purposes </w:t>
      </w:r>
      <w:r w:rsidR="006F13BC">
        <w:br/>
      </w:r>
      <w:r w:rsidRPr="006F13BC">
        <w:rPr>
          <w:sz w:val="20"/>
        </w:rPr>
        <w:t>(which allows students to apply for tu</w:t>
      </w:r>
      <w:r w:rsidR="00E328BC" w:rsidRPr="006F13BC">
        <w:rPr>
          <w:sz w:val="20"/>
        </w:rPr>
        <w:t>i</w:t>
      </w:r>
      <w:r w:rsidR="006F13BC" w:rsidRPr="006F13BC">
        <w:rPr>
          <w:sz w:val="20"/>
        </w:rPr>
        <w:t>tion fee and maintenance loans)</w:t>
      </w:r>
    </w:p>
    <w:p w:rsidR="00E328BC" w:rsidRPr="00E328BC" w:rsidRDefault="00E328BC" w:rsidP="0058437C">
      <w:pPr>
        <w:pStyle w:val="ListParagraph"/>
        <w:spacing w:after="0" w:line="276" w:lineRule="auto"/>
        <w:rPr>
          <w:rFonts w:ascii="Arial" w:hAnsi="Arial" w:cs="Arial"/>
        </w:rPr>
      </w:pPr>
    </w:p>
    <w:p w:rsid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Where the College’s designation is withd</w:t>
      </w:r>
      <w:r w:rsidR="00321064">
        <w:rPr>
          <w:rFonts w:ascii="Arial" w:hAnsi="Arial" w:cs="Arial"/>
        </w:rPr>
        <w:t>rawn, suspended or is not succe</w:t>
      </w:r>
      <w:r w:rsidR="00321064" w:rsidRPr="00E328BC">
        <w:rPr>
          <w:rFonts w:ascii="Arial" w:hAnsi="Arial" w:cs="Arial"/>
        </w:rPr>
        <w:t>ssfully</w:t>
      </w:r>
      <w:r w:rsidRPr="00E328BC">
        <w:rPr>
          <w:rFonts w:ascii="Arial" w:hAnsi="Arial" w:cs="Arial"/>
        </w:rPr>
        <w:t xml:space="preserve"> renewed, and depending on the circumstances of de-designation, the College will, if it considers there are grounds to do so, appeal the decision, or make a new application for designation, with a view to the restoration of this for the coming academic year. </w:t>
      </w:r>
    </w:p>
    <w:p w:rsidR="00E328BC" w:rsidRPr="00E328BC" w:rsidRDefault="00E328BC" w:rsidP="0058437C">
      <w:pPr>
        <w:pStyle w:val="ListParagraph"/>
        <w:spacing w:after="0" w:line="276" w:lineRule="auto"/>
        <w:rPr>
          <w:rFonts w:ascii="Arial" w:hAnsi="Arial" w:cs="Arial"/>
        </w:rPr>
      </w:pPr>
    </w:p>
    <w:p w:rsidR="00321064" w:rsidRDefault="00BB2106" w:rsidP="00321064">
      <w:pPr>
        <w:pStyle w:val="ListParagraph"/>
        <w:numPr>
          <w:ilvl w:val="0"/>
          <w:numId w:val="18"/>
        </w:numPr>
        <w:spacing w:after="0" w:line="276" w:lineRule="auto"/>
        <w:rPr>
          <w:rFonts w:ascii="Arial" w:hAnsi="Arial" w:cs="Arial"/>
        </w:rPr>
      </w:pPr>
      <w:r w:rsidRPr="00E328BC">
        <w:rPr>
          <w:rFonts w:ascii="Arial" w:hAnsi="Arial" w:cs="Arial"/>
        </w:rPr>
        <w:t xml:space="preserve">Where appropriate, the College will also apply for </w:t>
      </w:r>
      <w:r w:rsidR="00321064">
        <w:rPr>
          <w:rFonts w:ascii="Arial" w:hAnsi="Arial" w:cs="Arial"/>
        </w:rPr>
        <w:t>“teach out designation”, allowi</w:t>
      </w:r>
      <w:r w:rsidR="00321064" w:rsidRPr="00E328BC">
        <w:rPr>
          <w:rFonts w:ascii="Arial" w:hAnsi="Arial" w:cs="Arial"/>
        </w:rPr>
        <w:t>ng</w:t>
      </w:r>
      <w:r w:rsidRPr="00E328BC">
        <w:rPr>
          <w:rFonts w:ascii="Arial" w:hAnsi="Arial" w:cs="Arial"/>
        </w:rPr>
        <w:t xml:space="preserve"> you, as an eligible on-course student, to continue to access student tuition and maintenance loans for the remainder of your studies on the current programme at College, assuming it was designated up to that point. </w:t>
      </w:r>
    </w:p>
    <w:p w:rsidR="00321064" w:rsidRPr="00321064" w:rsidRDefault="00321064" w:rsidP="00321064">
      <w:pPr>
        <w:pStyle w:val="ListParagraph"/>
        <w:rPr>
          <w:rFonts w:ascii="Arial" w:hAnsi="Arial" w:cs="Arial"/>
        </w:rPr>
      </w:pPr>
    </w:p>
    <w:p w:rsidR="00E328BC" w:rsidRPr="00321064" w:rsidRDefault="00321064" w:rsidP="00321064">
      <w:pPr>
        <w:pStyle w:val="ListParagraph"/>
        <w:numPr>
          <w:ilvl w:val="0"/>
          <w:numId w:val="18"/>
        </w:numPr>
        <w:spacing w:after="0" w:line="276" w:lineRule="auto"/>
        <w:rPr>
          <w:rFonts w:ascii="Arial" w:hAnsi="Arial" w:cs="Arial"/>
        </w:rPr>
      </w:pPr>
      <w:r w:rsidRPr="00321064">
        <w:rPr>
          <w:rFonts w:ascii="Arial" w:hAnsi="Arial" w:cs="Arial"/>
        </w:rPr>
        <w:t xml:space="preserve">In the event of teach out designation not being granted, the College with the support of University as the awarding body will endeavour to transfer you, as an eligible on-course student, in receipt of or seeking loans, to the University, </w:t>
      </w:r>
      <w:r w:rsidRPr="00321064">
        <w:rPr>
          <w:rFonts w:ascii="Arial" w:hAnsi="Arial" w:cs="Arial"/>
          <w:i/>
        </w:rPr>
        <w:t>if there is a comparable programme</w:t>
      </w:r>
      <w:r w:rsidRPr="00321064">
        <w:rPr>
          <w:rFonts w:ascii="Arial" w:hAnsi="Arial" w:cs="Arial"/>
        </w:rPr>
        <w:t xml:space="preserve">, or another designated provider in discussion between the University and the College, should you so wish. </w:t>
      </w:r>
    </w:p>
    <w:p w:rsidR="00321064" w:rsidRPr="00E328BC" w:rsidRDefault="00321064" w:rsidP="0058437C">
      <w:pPr>
        <w:pStyle w:val="ListParagraph"/>
        <w:spacing w:after="0" w:line="276" w:lineRule="auto"/>
        <w:rPr>
          <w:rFonts w:ascii="Arial" w:hAnsi="Arial" w:cs="Arial"/>
        </w:rPr>
      </w:pPr>
    </w:p>
    <w:p w:rsidR="00BB2106" w:rsidRP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It is anticipated that de-designation, in itself, is unlikely to have a material effect upon on- course students eligible for student loans, while other students may also be unaffected as they are not eligible for, or do not wish to apply for, student loans. However, a broad application of de-designation may also relate to, or lead to, the closure of the College and you should</w:t>
      </w:r>
      <w:r w:rsidR="00F80661">
        <w:rPr>
          <w:rFonts w:ascii="Arial" w:hAnsi="Arial" w:cs="Arial"/>
        </w:rPr>
        <w:t xml:space="preserve"> also note provisions made in points 34-35</w:t>
      </w:r>
      <w:r w:rsidRPr="00E328BC">
        <w:rPr>
          <w:rFonts w:ascii="Arial" w:hAnsi="Arial" w:cs="Arial"/>
        </w:rPr>
        <w:t xml:space="preserve"> below.</w:t>
      </w:r>
    </w:p>
    <w:p w:rsidR="00E328BC" w:rsidRDefault="00E328BC" w:rsidP="0058437C">
      <w:pPr>
        <w:spacing w:after="0" w:line="276" w:lineRule="auto"/>
        <w:rPr>
          <w:rFonts w:ascii="Arial" w:hAnsi="Arial" w:cs="Arial"/>
        </w:rPr>
      </w:pPr>
    </w:p>
    <w:p w:rsidR="00584BEE" w:rsidRDefault="00584BEE" w:rsidP="0058437C">
      <w:pPr>
        <w:spacing w:after="0" w:line="276" w:lineRule="auto"/>
        <w:rPr>
          <w:rFonts w:ascii="Arial" w:hAnsi="Arial" w:cs="Arial"/>
        </w:rPr>
      </w:pPr>
    </w:p>
    <w:p w:rsidR="00584BEE" w:rsidRDefault="00584BEE" w:rsidP="0058437C">
      <w:pPr>
        <w:spacing w:after="0" w:line="276" w:lineRule="auto"/>
        <w:rPr>
          <w:rFonts w:ascii="Arial" w:hAnsi="Arial" w:cs="Arial"/>
        </w:rPr>
      </w:pPr>
    </w:p>
    <w:p w:rsidR="00E328BC" w:rsidRDefault="00BB2106" w:rsidP="0058437C">
      <w:pPr>
        <w:pStyle w:val="Subtitle"/>
        <w:spacing w:line="276" w:lineRule="auto"/>
      </w:pPr>
      <w:r w:rsidRPr="00D2692F">
        <w:lastRenderedPageBreak/>
        <w:t>Withdrawal or non-renewal of validation</w:t>
      </w:r>
      <w:r w:rsidRPr="00D2692F">
        <w:br/>
      </w:r>
    </w:p>
    <w:p w:rsid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 xml:space="preserve">Where the above occurs for one, more or all programmes, in line with the College’s validation agreement with the University, you, as an on-course student, </w:t>
      </w:r>
      <w:r w:rsidR="00321064">
        <w:rPr>
          <w:rFonts w:ascii="Arial" w:hAnsi="Arial" w:cs="Arial"/>
        </w:rPr>
        <w:t>studying a programme validated by</w:t>
      </w:r>
      <w:r w:rsidRPr="00E328BC">
        <w:rPr>
          <w:rFonts w:ascii="Arial" w:hAnsi="Arial" w:cs="Arial"/>
        </w:rPr>
        <w:t xml:space="preserve"> the University, will normally be permitted to complete your intended studies at the College, subject to normal maximum timescales. </w:t>
      </w:r>
    </w:p>
    <w:p w:rsidR="00E328BC" w:rsidRDefault="00E328BC" w:rsidP="0058437C">
      <w:pPr>
        <w:pStyle w:val="ListParagraph"/>
        <w:spacing w:after="0" w:line="276" w:lineRule="auto"/>
        <w:ind w:left="510"/>
        <w:rPr>
          <w:rFonts w:ascii="Arial" w:hAnsi="Arial" w:cs="Arial"/>
        </w:rPr>
      </w:pPr>
    </w:p>
    <w:p w:rsid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 xml:space="preserve">If, for whatever reason in line with the validation agreement, the University determines that this cannot occur, then the College and University will aim, in all cases, to enable you, as an on-course student, to continue with your current programme at College for the remainder of the academic year in which communication of the decision to end validation is made, subject to the College having the funds to support this. </w:t>
      </w:r>
    </w:p>
    <w:p w:rsidR="00E328BC" w:rsidRPr="00E328BC" w:rsidRDefault="00E328BC" w:rsidP="0058437C">
      <w:pPr>
        <w:pStyle w:val="ListParagraph"/>
        <w:spacing w:after="0" w:line="276" w:lineRule="auto"/>
        <w:rPr>
          <w:rFonts w:ascii="Arial" w:hAnsi="Arial" w:cs="Arial"/>
        </w:rPr>
      </w:pPr>
    </w:p>
    <w:p w:rsid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 xml:space="preserve">Following a University decision to no longer validate programme(s), the College will work to identify an alternative validating partner, with a view to putting this arrangement in place for the academic year following the University’s decision. You will be advised and supported by the College in choosing between the following options, </w:t>
      </w:r>
      <w:r w:rsidR="00321064">
        <w:rPr>
          <w:rFonts w:ascii="Arial" w:hAnsi="Arial" w:cs="Arial"/>
        </w:rPr>
        <w:t>if</w:t>
      </w:r>
      <w:r w:rsidRPr="00E328BC">
        <w:rPr>
          <w:rFonts w:ascii="Arial" w:hAnsi="Arial" w:cs="Arial"/>
        </w:rPr>
        <w:t xml:space="preserve"> and when they become available:</w:t>
      </w:r>
    </w:p>
    <w:p w:rsidR="00E328BC" w:rsidRPr="00321064" w:rsidRDefault="00E328BC" w:rsidP="00321064">
      <w:pPr>
        <w:spacing w:after="0" w:line="276" w:lineRule="auto"/>
        <w:rPr>
          <w:rFonts w:ascii="Arial" w:hAnsi="Arial" w:cs="Arial"/>
        </w:rPr>
      </w:pPr>
    </w:p>
    <w:p w:rsidR="00E328BC" w:rsidRDefault="00BB2106" w:rsidP="00321064">
      <w:pPr>
        <w:pStyle w:val="ListParagraph"/>
        <w:numPr>
          <w:ilvl w:val="1"/>
          <w:numId w:val="18"/>
        </w:numPr>
        <w:spacing w:after="0" w:line="276" w:lineRule="auto"/>
        <w:ind w:left="851" w:hanging="284"/>
        <w:rPr>
          <w:rFonts w:ascii="Arial" w:hAnsi="Arial" w:cs="Arial"/>
        </w:rPr>
      </w:pPr>
      <w:r w:rsidRPr="00E328BC">
        <w:rPr>
          <w:rFonts w:ascii="Arial" w:hAnsi="Arial" w:cs="Arial"/>
        </w:rPr>
        <w:t xml:space="preserve">transferring to a College programme </w:t>
      </w:r>
      <w:r w:rsidR="00E328BC">
        <w:rPr>
          <w:rFonts w:ascii="Arial" w:hAnsi="Arial" w:cs="Arial"/>
        </w:rPr>
        <w:t>validated by another partner</w:t>
      </w:r>
    </w:p>
    <w:p w:rsidR="00E328BC" w:rsidRPr="00E328BC" w:rsidRDefault="00E328BC" w:rsidP="0058437C">
      <w:pPr>
        <w:spacing w:after="0" w:line="276" w:lineRule="auto"/>
        <w:rPr>
          <w:rFonts w:ascii="Arial" w:hAnsi="Arial" w:cs="Arial"/>
        </w:rPr>
      </w:pPr>
    </w:p>
    <w:p w:rsidR="00BB2106" w:rsidRDefault="00BB2106" w:rsidP="00321064">
      <w:pPr>
        <w:pStyle w:val="ListParagraph"/>
        <w:numPr>
          <w:ilvl w:val="1"/>
          <w:numId w:val="18"/>
        </w:numPr>
        <w:spacing w:after="0" w:line="276" w:lineRule="auto"/>
        <w:ind w:left="851" w:hanging="284"/>
        <w:rPr>
          <w:rFonts w:ascii="Arial" w:hAnsi="Arial" w:cs="Arial"/>
        </w:rPr>
      </w:pPr>
      <w:r w:rsidRPr="00E328BC">
        <w:rPr>
          <w:rFonts w:ascii="Arial" w:hAnsi="Arial" w:cs="Arial"/>
        </w:rPr>
        <w:t xml:space="preserve">transferring to another provider </w:t>
      </w:r>
      <w:r w:rsidR="00321064">
        <w:rPr>
          <w:rFonts w:ascii="Arial" w:hAnsi="Arial" w:cs="Arial"/>
        </w:rPr>
        <w:t xml:space="preserve">in discussion with the College and the University as awarding </w:t>
      </w:r>
      <w:proofErr w:type="gramStart"/>
      <w:r w:rsidR="00321064">
        <w:rPr>
          <w:rFonts w:ascii="Arial" w:hAnsi="Arial" w:cs="Arial"/>
        </w:rPr>
        <w:t>body</w:t>
      </w:r>
      <w:r w:rsidRPr="00E328BC">
        <w:rPr>
          <w:rFonts w:ascii="Arial" w:hAnsi="Arial" w:cs="Arial"/>
        </w:rPr>
        <w:t>(</w:t>
      </w:r>
      <w:proofErr w:type="gramEnd"/>
      <w:r w:rsidRPr="00E328BC">
        <w:rPr>
          <w:rFonts w:ascii="Arial" w:hAnsi="Arial" w:cs="Arial"/>
        </w:rPr>
        <w:t xml:space="preserve">if a </w:t>
      </w:r>
      <w:r w:rsidR="00321064">
        <w:rPr>
          <w:rFonts w:ascii="Arial" w:hAnsi="Arial" w:cs="Arial"/>
        </w:rPr>
        <w:t>is not</w:t>
      </w:r>
      <w:r w:rsidRPr="00E328BC">
        <w:rPr>
          <w:rFonts w:ascii="Arial" w:hAnsi="Arial" w:cs="Arial"/>
        </w:rPr>
        <w:t xml:space="preserve"> possible).</w:t>
      </w:r>
    </w:p>
    <w:p w:rsidR="00F80661" w:rsidRPr="00F80661" w:rsidRDefault="00F80661" w:rsidP="0058437C">
      <w:pPr>
        <w:spacing w:after="0" w:line="276" w:lineRule="auto"/>
      </w:pPr>
    </w:p>
    <w:p w:rsidR="00E328BC" w:rsidRDefault="00BB2106" w:rsidP="0058437C">
      <w:pPr>
        <w:pStyle w:val="Subtitle"/>
        <w:spacing w:line="276" w:lineRule="auto"/>
      </w:pPr>
      <w:r w:rsidRPr="00D2692F">
        <w:t>Closure of the College and market exit</w:t>
      </w:r>
    </w:p>
    <w:p w:rsidR="00E328BC" w:rsidRDefault="00E328BC" w:rsidP="0058437C">
      <w:pPr>
        <w:spacing w:after="0" w:line="276" w:lineRule="auto"/>
      </w:pPr>
    </w:p>
    <w:p w:rsidR="00E328BC" w:rsidRDefault="00BB2106" w:rsidP="00321064">
      <w:pPr>
        <w:pStyle w:val="ListParagraph"/>
        <w:numPr>
          <w:ilvl w:val="0"/>
          <w:numId w:val="18"/>
        </w:numPr>
        <w:spacing w:after="0" w:line="276" w:lineRule="auto"/>
        <w:rPr>
          <w:rFonts w:ascii="Arial" w:hAnsi="Arial" w:cs="Arial"/>
        </w:rPr>
      </w:pPr>
      <w:r w:rsidRPr="00E328BC">
        <w:rPr>
          <w:rFonts w:ascii="Arial" w:hAnsi="Arial" w:cs="Arial"/>
        </w:rPr>
        <w:t xml:space="preserve">As with all providers, an extreme set of events may lead to the prospect of the College being closed or a decision taken by the College’s Board of Trustees to exit the market served by the College. </w:t>
      </w:r>
    </w:p>
    <w:p w:rsidR="00E328BC" w:rsidRDefault="00E328BC" w:rsidP="0058437C">
      <w:pPr>
        <w:pStyle w:val="ListParagraph"/>
        <w:spacing w:after="0" w:line="276" w:lineRule="auto"/>
        <w:ind w:left="510"/>
        <w:rPr>
          <w:rFonts w:ascii="Arial" w:hAnsi="Arial" w:cs="Arial"/>
        </w:rPr>
      </w:pPr>
    </w:p>
    <w:p w:rsidR="00E328BC" w:rsidRDefault="0BB73802" w:rsidP="00321064">
      <w:pPr>
        <w:pStyle w:val="ListParagraph"/>
        <w:numPr>
          <w:ilvl w:val="0"/>
          <w:numId w:val="18"/>
        </w:numPr>
        <w:spacing w:after="0" w:line="276" w:lineRule="auto"/>
        <w:rPr>
          <w:rFonts w:ascii="Arial" w:hAnsi="Arial" w:cs="Arial"/>
        </w:rPr>
      </w:pPr>
      <w:r w:rsidRPr="0BB73802">
        <w:rPr>
          <w:rFonts w:ascii="Arial" w:hAnsi="Arial" w:cs="Arial"/>
        </w:rPr>
        <w:t xml:space="preserve">This may be triggered, for example, by the College becoming insolvent or through falling student demand, withdrawal of validation or regulatory matters, or a major event rendering the College’s mission non-viable. </w:t>
      </w:r>
    </w:p>
    <w:p w:rsidR="00E328BC" w:rsidRDefault="00E328BC" w:rsidP="0BB73802">
      <w:pPr>
        <w:spacing w:after="0" w:line="276" w:lineRule="auto"/>
        <w:rPr>
          <w:rFonts w:ascii="Arial" w:hAnsi="Arial" w:cs="Arial"/>
        </w:rPr>
      </w:pPr>
    </w:p>
    <w:p w:rsidR="00E328BC" w:rsidRDefault="0BB73802" w:rsidP="00321064">
      <w:pPr>
        <w:pStyle w:val="ListParagraph"/>
        <w:numPr>
          <w:ilvl w:val="0"/>
          <w:numId w:val="18"/>
        </w:numPr>
        <w:spacing w:after="0" w:line="276" w:lineRule="auto"/>
      </w:pPr>
      <w:r w:rsidRPr="0BB73802">
        <w:rPr>
          <w:rFonts w:ascii="Arial" w:hAnsi="Arial" w:cs="Arial"/>
        </w:rPr>
        <w:t xml:space="preserve">In such cases, the following will apply: </w:t>
      </w:r>
    </w:p>
    <w:p w:rsidR="00E328BC" w:rsidRPr="00E328BC" w:rsidRDefault="00E328BC" w:rsidP="0058437C">
      <w:pPr>
        <w:pStyle w:val="ListParagraph"/>
        <w:spacing w:after="0" w:line="276" w:lineRule="auto"/>
        <w:rPr>
          <w:rFonts w:ascii="Arial" w:hAnsi="Arial" w:cs="Arial"/>
        </w:rPr>
      </w:pPr>
    </w:p>
    <w:p w:rsidR="001F7D7B" w:rsidRDefault="001F7D7B" w:rsidP="0058437C">
      <w:pPr>
        <w:pStyle w:val="ListParagraph"/>
        <w:numPr>
          <w:ilvl w:val="0"/>
          <w:numId w:val="13"/>
        </w:numPr>
        <w:spacing w:after="0" w:line="276" w:lineRule="auto"/>
        <w:rPr>
          <w:rFonts w:ascii="Arial" w:hAnsi="Arial" w:cs="Arial"/>
        </w:rPr>
      </w:pPr>
      <w:r>
        <w:rPr>
          <w:rFonts w:ascii="Arial" w:hAnsi="Arial" w:cs="Arial"/>
        </w:rPr>
        <w:t>W</w:t>
      </w:r>
      <w:r w:rsidR="00BB2106" w:rsidRPr="001F7D7B">
        <w:rPr>
          <w:rFonts w:ascii="Arial" w:hAnsi="Arial" w:cs="Arial"/>
        </w:rPr>
        <w:t xml:space="preserve">here a decision to close is taken, the College will immediately enter a “continuity period” allowing you, as an on-course student, to continue with your current programme for the remainder of the academic year in which communication of the decision to close the College is made. This will be subject to the College having the funds to support this. </w:t>
      </w:r>
    </w:p>
    <w:p w:rsidR="001F7D7B" w:rsidRDefault="001F7D7B" w:rsidP="0058437C">
      <w:pPr>
        <w:pStyle w:val="ListParagraph"/>
        <w:spacing w:after="0" w:line="276" w:lineRule="auto"/>
        <w:rPr>
          <w:rFonts w:ascii="Arial" w:hAnsi="Arial" w:cs="Arial"/>
        </w:rPr>
      </w:pPr>
    </w:p>
    <w:p w:rsidR="001F7D7B" w:rsidRDefault="0BB73802" w:rsidP="0BB73802">
      <w:pPr>
        <w:pStyle w:val="ListParagraph"/>
        <w:numPr>
          <w:ilvl w:val="0"/>
          <w:numId w:val="13"/>
        </w:numPr>
        <w:spacing w:after="0" w:line="276" w:lineRule="auto"/>
        <w:rPr>
          <w:color w:val="000000" w:themeColor="text1"/>
        </w:rPr>
      </w:pPr>
      <w:r w:rsidRPr="0BB73802">
        <w:rPr>
          <w:rFonts w:ascii="Arial" w:hAnsi="Arial" w:cs="Arial"/>
        </w:rPr>
        <w:t>During the continuity period, the College will work with the University, as the awarding body, to devise and establish the best possible option and opportunity f</w:t>
      </w:r>
      <w:r w:rsidR="00266AE4">
        <w:rPr>
          <w:rFonts w:ascii="Arial" w:hAnsi="Arial" w:cs="Arial"/>
        </w:rPr>
        <w:t>or you, as an on- course</w:t>
      </w:r>
      <w:r w:rsidRPr="0BB73802">
        <w:rPr>
          <w:rFonts w:ascii="Arial" w:hAnsi="Arial" w:cs="Arial"/>
        </w:rPr>
        <w:t xml:space="preserve"> student to complete the academic year and any subsequent year(s) required by the course</w:t>
      </w:r>
      <w:r w:rsidR="003A05D1">
        <w:rPr>
          <w:rFonts w:ascii="Arial" w:hAnsi="Arial" w:cs="Arial"/>
        </w:rPr>
        <w:t>.</w:t>
      </w:r>
    </w:p>
    <w:p w:rsidR="001F7D7B" w:rsidRDefault="001F7D7B" w:rsidP="0BB73802">
      <w:pPr>
        <w:pStyle w:val="Subtitle"/>
        <w:spacing w:line="276" w:lineRule="auto"/>
        <w:ind w:left="360"/>
        <w:rPr>
          <w:color w:val="000000" w:themeColor="text1"/>
        </w:rPr>
      </w:pPr>
    </w:p>
    <w:p w:rsidR="005644D6" w:rsidRPr="005644D6" w:rsidRDefault="005644D6" w:rsidP="005644D6"/>
    <w:p w:rsidR="00BB2106" w:rsidRPr="00D2692F" w:rsidRDefault="00BB2106" w:rsidP="0058437C">
      <w:pPr>
        <w:pStyle w:val="Subtitle"/>
        <w:spacing w:line="276" w:lineRule="auto"/>
      </w:pPr>
      <w:r w:rsidRPr="00D2692F">
        <w:lastRenderedPageBreak/>
        <w:t>Refund of fees and compensation</w:t>
      </w:r>
    </w:p>
    <w:p w:rsidR="001F7D7B" w:rsidRDefault="001F7D7B" w:rsidP="0058437C">
      <w:pPr>
        <w:spacing w:after="0" w:line="276" w:lineRule="auto"/>
        <w:rPr>
          <w:rFonts w:ascii="Arial" w:hAnsi="Arial" w:cs="Arial"/>
        </w:rPr>
      </w:pPr>
    </w:p>
    <w:p w:rsidR="001F7D7B" w:rsidRDefault="0BB73802" w:rsidP="00321064">
      <w:pPr>
        <w:pStyle w:val="ListParagraph"/>
        <w:numPr>
          <w:ilvl w:val="0"/>
          <w:numId w:val="18"/>
        </w:numPr>
        <w:spacing w:after="0" w:line="276" w:lineRule="auto"/>
        <w:rPr>
          <w:rFonts w:ascii="Arial" w:hAnsi="Arial" w:cs="Arial"/>
        </w:rPr>
      </w:pPr>
      <w:r w:rsidRPr="0BB73802">
        <w:rPr>
          <w:rFonts w:ascii="Arial" w:hAnsi="Arial" w:cs="Arial"/>
        </w:rPr>
        <w:t>If we are unable to run a programme for which you, as a prospective student, have applied, we will refund any fees paid in advance.</w:t>
      </w:r>
    </w:p>
    <w:p w:rsidR="001F7D7B" w:rsidRDefault="001F7D7B" w:rsidP="0058437C">
      <w:pPr>
        <w:pStyle w:val="ListParagraph"/>
        <w:spacing w:after="0" w:line="276" w:lineRule="auto"/>
        <w:ind w:left="510"/>
        <w:rPr>
          <w:rFonts w:ascii="Arial" w:hAnsi="Arial" w:cs="Arial"/>
        </w:rPr>
      </w:pPr>
    </w:p>
    <w:p w:rsidR="001F7D7B" w:rsidRDefault="0BB73802" w:rsidP="00321064">
      <w:pPr>
        <w:pStyle w:val="ListParagraph"/>
        <w:numPr>
          <w:ilvl w:val="0"/>
          <w:numId w:val="18"/>
        </w:numPr>
        <w:spacing w:after="0" w:line="276" w:lineRule="auto"/>
        <w:rPr>
          <w:rFonts w:ascii="Arial" w:hAnsi="Arial" w:cs="Arial"/>
        </w:rPr>
      </w:pPr>
      <w:r w:rsidRPr="0BB73802">
        <w:rPr>
          <w:rFonts w:ascii="Arial" w:hAnsi="Arial" w:cs="Arial"/>
        </w:rPr>
        <w:t>As an on-course student, you will continue to be liable for all tuition and other fees relating to your original programme for as long as the College is able to provide that programme; this includes any teach-out or continuity periods. No refunds or compensation will be due.</w:t>
      </w:r>
    </w:p>
    <w:p w:rsidR="0BB73802" w:rsidRPr="003A05D1" w:rsidRDefault="0BB73802" w:rsidP="003A05D1">
      <w:pPr>
        <w:spacing w:after="0" w:line="276" w:lineRule="auto"/>
        <w:rPr>
          <w:rFonts w:ascii="Arial" w:hAnsi="Arial" w:cs="Arial"/>
        </w:rPr>
      </w:pPr>
    </w:p>
    <w:p w:rsidR="001F7D7B" w:rsidRDefault="0BB73802" w:rsidP="00321064">
      <w:pPr>
        <w:pStyle w:val="ListParagraph"/>
        <w:numPr>
          <w:ilvl w:val="0"/>
          <w:numId w:val="18"/>
        </w:numPr>
        <w:spacing w:after="0" w:line="276" w:lineRule="auto"/>
        <w:rPr>
          <w:rFonts w:ascii="Arial" w:hAnsi="Arial" w:cs="Arial"/>
        </w:rPr>
      </w:pPr>
      <w:r w:rsidRPr="0BB73802">
        <w:rPr>
          <w:rFonts w:ascii="Arial" w:hAnsi="Arial" w:cs="Arial"/>
        </w:rPr>
        <w:t>If, in any of the circumstances above, we are unable to continue to provide the programme you have been studying, but we can offer an acceptable alternative programme, your tuition fee liability will be set at the lower of the two programmes for its remaining normal duration. In other words, your tuition fee will be no more than before and you will benefit from any reduction.</w:t>
      </w:r>
    </w:p>
    <w:p w:rsidR="00815943" w:rsidRDefault="00815943" w:rsidP="00815943">
      <w:pPr>
        <w:pStyle w:val="ListParagraph"/>
        <w:spacing w:after="0" w:line="276" w:lineRule="auto"/>
        <w:ind w:left="510"/>
        <w:rPr>
          <w:rFonts w:ascii="Arial" w:hAnsi="Arial" w:cs="Arial"/>
        </w:rPr>
      </w:pPr>
    </w:p>
    <w:p w:rsidR="001F7D7B" w:rsidRDefault="0BB73802" w:rsidP="00321064">
      <w:pPr>
        <w:pStyle w:val="ListParagraph"/>
        <w:numPr>
          <w:ilvl w:val="0"/>
          <w:numId w:val="18"/>
        </w:numPr>
        <w:spacing w:after="0" w:line="276" w:lineRule="auto"/>
        <w:rPr>
          <w:rFonts w:ascii="Arial" w:hAnsi="Arial" w:cs="Arial"/>
        </w:rPr>
      </w:pPr>
      <w:r w:rsidRPr="0BB73802">
        <w:rPr>
          <w:rFonts w:ascii="Arial" w:hAnsi="Arial" w:cs="Arial"/>
        </w:rPr>
        <w:t>If, in any of the circumstances above, we are unable to continue to provide the programme you have been studying and you are required to attend our programme on another site or campus, we will reimburse you, on application, with reasonable additional travel expenses for the remaining normal duration of your programme.</w:t>
      </w:r>
    </w:p>
    <w:p w:rsidR="001F7D7B" w:rsidRPr="001F7D7B" w:rsidRDefault="001F7D7B" w:rsidP="0058437C">
      <w:pPr>
        <w:pStyle w:val="ListParagraph"/>
        <w:spacing w:after="0" w:line="276" w:lineRule="auto"/>
        <w:rPr>
          <w:rFonts w:ascii="Arial" w:hAnsi="Arial" w:cs="Arial"/>
        </w:rPr>
      </w:pPr>
    </w:p>
    <w:p w:rsidR="001F7D7B" w:rsidRDefault="0BB73802" w:rsidP="00321064">
      <w:pPr>
        <w:pStyle w:val="ListParagraph"/>
        <w:numPr>
          <w:ilvl w:val="0"/>
          <w:numId w:val="18"/>
        </w:numPr>
        <w:spacing w:after="0" w:line="276" w:lineRule="auto"/>
        <w:rPr>
          <w:rFonts w:ascii="Arial" w:hAnsi="Arial" w:cs="Arial"/>
        </w:rPr>
      </w:pPr>
      <w:r w:rsidRPr="0BB73802">
        <w:rPr>
          <w:rFonts w:ascii="Arial" w:hAnsi="Arial" w:cs="Arial"/>
        </w:rPr>
        <w:t>If you are in receipt of a College bursary, the terms of this will continue to be honoured in the event of a change of programme, site or campus or during any teach-out or continuity periods.</w:t>
      </w:r>
    </w:p>
    <w:p w:rsidR="001F7D7B" w:rsidRPr="001F7D7B" w:rsidRDefault="001F7D7B" w:rsidP="0058437C">
      <w:pPr>
        <w:pStyle w:val="ListParagraph"/>
        <w:spacing w:after="0" w:line="276" w:lineRule="auto"/>
        <w:rPr>
          <w:rFonts w:ascii="Arial" w:hAnsi="Arial" w:cs="Arial"/>
        </w:rPr>
      </w:pPr>
    </w:p>
    <w:p w:rsidR="001F7D7B" w:rsidRDefault="0BB73802" w:rsidP="00321064">
      <w:pPr>
        <w:pStyle w:val="ListParagraph"/>
        <w:numPr>
          <w:ilvl w:val="0"/>
          <w:numId w:val="18"/>
        </w:numPr>
        <w:spacing w:after="0" w:line="276" w:lineRule="auto"/>
        <w:rPr>
          <w:rFonts w:ascii="Arial" w:hAnsi="Arial" w:cs="Arial"/>
        </w:rPr>
      </w:pPr>
      <w:r w:rsidRPr="0BB73802">
        <w:rPr>
          <w:rFonts w:ascii="Arial" w:hAnsi="Arial" w:cs="Arial"/>
        </w:rPr>
        <w:t>If, in any of the circumstances above, we are unable to continue to provide the programme you have been studying or offer an acceptable alternative programme, and you have no option other than to transfer to the University or another provider, we will, subject to the College having the funds to support it:</w:t>
      </w:r>
    </w:p>
    <w:p w:rsidR="001F7D7B" w:rsidRPr="001F7D7B" w:rsidRDefault="001F7D7B" w:rsidP="0058437C">
      <w:pPr>
        <w:pStyle w:val="ListParagraph"/>
        <w:spacing w:after="0" w:line="276" w:lineRule="auto"/>
        <w:rPr>
          <w:rFonts w:ascii="Arial" w:hAnsi="Arial" w:cs="Arial"/>
        </w:rPr>
      </w:pPr>
    </w:p>
    <w:p w:rsidR="001F7D7B" w:rsidRDefault="00BB2106" w:rsidP="005644D6">
      <w:pPr>
        <w:pStyle w:val="ListParagraph"/>
        <w:numPr>
          <w:ilvl w:val="0"/>
          <w:numId w:val="19"/>
        </w:numPr>
        <w:spacing w:after="0" w:line="276" w:lineRule="auto"/>
        <w:rPr>
          <w:rFonts w:ascii="Arial" w:hAnsi="Arial" w:cs="Arial"/>
        </w:rPr>
      </w:pPr>
      <w:r w:rsidRPr="001F7D7B">
        <w:rPr>
          <w:rFonts w:ascii="Arial" w:hAnsi="Arial" w:cs="Arial"/>
        </w:rPr>
        <w:t>refund any fees you have paid to us in</w:t>
      </w:r>
      <w:r w:rsidR="001F7D7B">
        <w:rPr>
          <w:rFonts w:ascii="Arial" w:hAnsi="Arial" w:cs="Arial"/>
        </w:rPr>
        <w:t xml:space="preserve"> advance that no longer apply</w:t>
      </w:r>
    </w:p>
    <w:p w:rsidR="00F96571" w:rsidRDefault="00F96571" w:rsidP="0058437C">
      <w:pPr>
        <w:pStyle w:val="ListParagraph"/>
        <w:spacing w:after="0" w:line="276" w:lineRule="auto"/>
        <w:ind w:left="870"/>
        <w:rPr>
          <w:rFonts w:ascii="Arial" w:hAnsi="Arial" w:cs="Arial"/>
        </w:rPr>
      </w:pPr>
    </w:p>
    <w:p w:rsidR="001F7D7B" w:rsidRDefault="00BB2106" w:rsidP="005644D6">
      <w:pPr>
        <w:pStyle w:val="ListParagraph"/>
        <w:numPr>
          <w:ilvl w:val="0"/>
          <w:numId w:val="19"/>
        </w:numPr>
        <w:spacing w:after="0" w:line="276" w:lineRule="auto"/>
        <w:rPr>
          <w:rFonts w:ascii="Arial" w:hAnsi="Arial" w:cs="Arial"/>
        </w:rPr>
      </w:pPr>
      <w:r w:rsidRPr="001F7D7B">
        <w:rPr>
          <w:rFonts w:ascii="Arial" w:hAnsi="Arial" w:cs="Arial"/>
        </w:rPr>
        <w:t>cover any difference in the tuition fees of your new provider against our own fees for the remaining normal duration of your programme, unless that difference can be covered by an increase in your tuiti</w:t>
      </w:r>
      <w:r w:rsidR="001F7D7B">
        <w:rPr>
          <w:rFonts w:ascii="Arial" w:hAnsi="Arial" w:cs="Arial"/>
        </w:rPr>
        <w:t>on fee loan, where applicable</w:t>
      </w:r>
    </w:p>
    <w:p w:rsidR="00F96571" w:rsidRPr="00F96571" w:rsidRDefault="00F96571" w:rsidP="0058437C">
      <w:pPr>
        <w:spacing w:after="0" w:line="276" w:lineRule="auto"/>
        <w:rPr>
          <w:rFonts w:ascii="Arial" w:hAnsi="Arial" w:cs="Arial"/>
        </w:rPr>
      </w:pPr>
    </w:p>
    <w:p w:rsidR="00BB2106" w:rsidRPr="001F7D7B" w:rsidRDefault="00BB2106" w:rsidP="005644D6">
      <w:pPr>
        <w:pStyle w:val="ListParagraph"/>
        <w:numPr>
          <w:ilvl w:val="0"/>
          <w:numId w:val="19"/>
        </w:numPr>
        <w:spacing w:after="0" w:line="276" w:lineRule="auto"/>
        <w:rPr>
          <w:rFonts w:ascii="Arial" w:hAnsi="Arial" w:cs="Arial"/>
        </w:rPr>
      </w:pPr>
      <w:r w:rsidRPr="001F7D7B">
        <w:rPr>
          <w:rFonts w:ascii="Arial" w:hAnsi="Arial" w:cs="Arial"/>
        </w:rPr>
        <w:t>reimburse you, on application, with reasonable additional travel expenses for the remaining normal duration of your programme, plus the cost of up to two preliminary visits to the new provider.</w:t>
      </w:r>
    </w:p>
    <w:p w:rsidR="00C47233" w:rsidRPr="00D2692F" w:rsidRDefault="00C47233" w:rsidP="0058437C">
      <w:pPr>
        <w:spacing w:after="0" w:line="276" w:lineRule="auto"/>
        <w:rPr>
          <w:rFonts w:ascii="Arial" w:hAnsi="Arial" w:cs="Arial"/>
        </w:rPr>
      </w:pPr>
    </w:p>
    <w:sectPr w:rsidR="00C47233" w:rsidRPr="00D2692F" w:rsidSect="00F8066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00F6" w:rsidRDefault="00E600F6" w:rsidP="00F80661">
      <w:pPr>
        <w:spacing w:after="0" w:line="240" w:lineRule="auto"/>
      </w:pPr>
      <w:r>
        <w:separator/>
      </w:r>
    </w:p>
  </w:endnote>
  <w:endnote w:type="continuationSeparator" w:id="0">
    <w:p w:rsidR="00E600F6" w:rsidRDefault="00E600F6" w:rsidP="00F8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3244833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F80661" w:rsidRPr="00F80661" w:rsidRDefault="00F80661" w:rsidP="00F80661">
            <w:pPr>
              <w:pStyle w:val="Footer"/>
              <w:jc w:val="right"/>
              <w:rPr>
                <w:rFonts w:ascii="Arial" w:hAnsi="Arial" w:cs="Arial"/>
                <w:sz w:val="16"/>
                <w:szCs w:val="16"/>
              </w:rPr>
            </w:pPr>
            <w:r w:rsidRPr="00F80661">
              <w:rPr>
                <w:rFonts w:ascii="Arial" w:hAnsi="Arial" w:cs="Arial"/>
                <w:sz w:val="16"/>
                <w:szCs w:val="16"/>
              </w:rPr>
              <w:t xml:space="preserve">Page </w:t>
            </w:r>
            <w:r w:rsidRPr="00F80661">
              <w:rPr>
                <w:rFonts w:ascii="Arial" w:hAnsi="Arial" w:cs="Arial"/>
                <w:b/>
                <w:bCs/>
                <w:sz w:val="16"/>
                <w:szCs w:val="16"/>
              </w:rPr>
              <w:fldChar w:fldCharType="begin"/>
            </w:r>
            <w:r w:rsidRPr="00F80661">
              <w:rPr>
                <w:rFonts w:ascii="Arial" w:hAnsi="Arial" w:cs="Arial"/>
                <w:b/>
                <w:bCs/>
                <w:sz w:val="16"/>
                <w:szCs w:val="16"/>
              </w:rPr>
              <w:instrText xml:space="preserve"> PAGE </w:instrText>
            </w:r>
            <w:r w:rsidRPr="00F80661">
              <w:rPr>
                <w:rFonts w:ascii="Arial" w:hAnsi="Arial" w:cs="Arial"/>
                <w:b/>
                <w:bCs/>
                <w:sz w:val="16"/>
                <w:szCs w:val="16"/>
              </w:rPr>
              <w:fldChar w:fldCharType="separate"/>
            </w:r>
            <w:r w:rsidR="00E32CDC">
              <w:rPr>
                <w:rFonts w:ascii="Arial" w:hAnsi="Arial" w:cs="Arial"/>
                <w:b/>
                <w:bCs/>
                <w:noProof/>
                <w:sz w:val="16"/>
                <w:szCs w:val="16"/>
              </w:rPr>
              <w:t>8</w:t>
            </w:r>
            <w:r w:rsidRPr="00F80661">
              <w:rPr>
                <w:rFonts w:ascii="Arial" w:hAnsi="Arial" w:cs="Arial"/>
                <w:b/>
                <w:bCs/>
                <w:sz w:val="16"/>
                <w:szCs w:val="16"/>
              </w:rPr>
              <w:fldChar w:fldCharType="end"/>
            </w:r>
            <w:r w:rsidRPr="00F80661">
              <w:rPr>
                <w:rFonts w:ascii="Arial" w:hAnsi="Arial" w:cs="Arial"/>
                <w:sz w:val="16"/>
                <w:szCs w:val="16"/>
              </w:rPr>
              <w:t xml:space="preserve"> of </w:t>
            </w:r>
            <w:r w:rsidRPr="00F80661">
              <w:rPr>
                <w:rFonts w:ascii="Arial" w:hAnsi="Arial" w:cs="Arial"/>
                <w:b/>
                <w:bCs/>
                <w:sz w:val="16"/>
                <w:szCs w:val="16"/>
              </w:rPr>
              <w:fldChar w:fldCharType="begin"/>
            </w:r>
            <w:r w:rsidRPr="00F80661">
              <w:rPr>
                <w:rFonts w:ascii="Arial" w:hAnsi="Arial" w:cs="Arial"/>
                <w:b/>
                <w:bCs/>
                <w:sz w:val="16"/>
                <w:szCs w:val="16"/>
              </w:rPr>
              <w:instrText xml:space="preserve"> NUMPAGES  </w:instrText>
            </w:r>
            <w:r w:rsidRPr="00F80661">
              <w:rPr>
                <w:rFonts w:ascii="Arial" w:hAnsi="Arial" w:cs="Arial"/>
                <w:b/>
                <w:bCs/>
                <w:sz w:val="16"/>
                <w:szCs w:val="16"/>
              </w:rPr>
              <w:fldChar w:fldCharType="separate"/>
            </w:r>
            <w:r w:rsidR="00E32CDC">
              <w:rPr>
                <w:rFonts w:ascii="Arial" w:hAnsi="Arial" w:cs="Arial"/>
                <w:b/>
                <w:bCs/>
                <w:noProof/>
                <w:sz w:val="16"/>
                <w:szCs w:val="16"/>
              </w:rPr>
              <w:t>8</w:t>
            </w:r>
            <w:r w:rsidRPr="00F80661">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00F6" w:rsidRDefault="00E600F6" w:rsidP="00F80661">
      <w:pPr>
        <w:spacing w:after="0" w:line="240" w:lineRule="auto"/>
      </w:pPr>
      <w:r>
        <w:separator/>
      </w:r>
    </w:p>
  </w:footnote>
  <w:footnote w:type="continuationSeparator" w:id="0">
    <w:p w:rsidR="00E600F6" w:rsidRDefault="00E600F6" w:rsidP="00F8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2AC9"/>
    <w:multiLevelType w:val="multilevel"/>
    <w:tmpl w:val="3FE8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5C21"/>
    <w:multiLevelType w:val="hybridMultilevel"/>
    <w:tmpl w:val="2ADCB5B4"/>
    <w:lvl w:ilvl="0" w:tplc="5854F7D2">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3730F"/>
    <w:multiLevelType w:val="hybridMultilevel"/>
    <w:tmpl w:val="B9383A80"/>
    <w:lvl w:ilvl="0" w:tplc="5854F7D2">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14245"/>
    <w:multiLevelType w:val="hybridMultilevel"/>
    <w:tmpl w:val="8A427702"/>
    <w:lvl w:ilvl="0" w:tplc="E9AE66A6">
      <w:start w:val="24"/>
      <w:numFmt w:val="decimal"/>
      <w:lvlText w:val="%1"/>
      <w:lvlJc w:val="left"/>
      <w:pPr>
        <w:ind w:left="510" w:hanging="51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34FF3"/>
    <w:multiLevelType w:val="hybridMultilevel"/>
    <w:tmpl w:val="F510F17C"/>
    <w:lvl w:ilvl="0" w:tplc="5854F7D2">
      <w:start w:val="1"/>
      <w:numFmt w:val="decimal"/>
      <w:lvlText w:val="%1."/>
      <w:lvlJc w:val="left"/>
      <w:pPr>
        <w:ind w:left="510" w:hanging="51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E62BA"/>
    <w:multiLevelType w:val="multilevel"/>
    <w:tmpl w:val="7A3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543D0"/>
    <w:multiLevelType w:val="hybridMultilevel"/>
    <w:tmpl w:val="96F6DD90"/>
    <w:lvl w:ilvl="0" w:tplc="3FC85274">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9492CED"/>
    <w:multiLevelType w:val="multilevel"/>
    <w:tmpl w:val="70E0B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649B"/>
    <w:multiLevelType w:val="hybridMultilevel"/>
    <w:tmpl w:val="CCB4C50A"/>
    <w:lvl w:ilvl="0" w:tplc="08090005">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51B66D59"/>
    <w:multiLevelType w:val="hybridMultilevel"/>
    <w:tmpl w:val="963266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F08C3"/>
    <w:multiLevelType w:val="multilevel"/>
    <w:tmpl w:val="9E0C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3759B"/>
    <w:multiLevelType w:val="hybridMultilevel"/>
    <w:tmpl w:val="FB0A7A06"/>
    <w:lvl w:ilvl="0" w:tplc="5854F7D2">
      <w:start w:val="1"/>
      <w:numFmt w:val="decimal"/>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13CDC"/>
    <w:multiLevelType w:val="hybridMultilevel"/>
    <w:tmpl w:val="788862E6"/>
    <w:lvl w:ilvl="0" w:tplc="2266FA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22DF3"/>
    <w:multiLevelType w:val="hybridMultilevel"/>
    <w:tmpl w:val="1102B6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5583A"/>
    <w:multiLevelType w:val="hybridMultilevel"/>
    <w:tmpl w:val="810C150A"/>
    <w:lvl w:ilvl="0" w:tplc="3AB6DDE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14F7E"/>
    <w:multiLevelType w:val="hybridMultilevel"/>
    <w:tmpl w:val="A306AB0A"/>
    <w:lvl w:ilvl="0" w:tplc="08090019">
      <w:start w:val="1"/>
      <w:numFmt w:val="lowerLetter"/>
      <w:lvlText w:val="%1."/>
      <w:lvlJc w:val="left"/>
      <w:pPr>
        <w:ind w:left="870" w:hanging="360"/>
      </w:pPr>
      <w:rPr>
        <w:rFont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6" w15:restartNumberingAfterBreak="0">
    <w:nsid w:val="6F486303"/>
    <w:multiLevelType w:val="hybridMultilevel"/>
    <w:tmpl w:val="34F4C32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17D36"/>
    <w:multiLevelType w:val="hybridMultilevel"/>
    <w:tmpl w:val="2EB89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957591"/>
    <w:multiLevelType w:val="hybridMultilevel"/>
    <w:tmpl w:val="1BE6C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0"/>
  </w:num>
  <w:num w:numId="5">
    <w:abstractNumId w:val="4"/>
  </w:num>
  <w:num w:numId="6">
    <w:abstractNumId w:val="18"/>
  </w:num>
  <w:num w:numId="7">
    <w:abstractNumId w:val="1"/>
  </w:num>
  <w:num w:numId="8">
    <w:abstractNumId w:val="11"/>
  </w:num>
  <w:num w:numId="9">
    <w:abstractNumId w:val="2"/>
  </w:num>
  <w:num w:numId="10">
    <w:abstractNumId w:val="17"/>
  </w:num>
  <w:num w:numId="11">
    <w:abstractNumId w:val="13"/>
  </w:num>
  <w:num w:numId="12">
    <w:abstractNumId w:val="9"/>
  </w:num>
  <w:num w:numId="13">
    <w:abstractNumId w:val="16"/>
  </w:num>
  <w:num w:numId="14">
    <w:abstractNumId w:val="8"/>
  </w:num>
  <w:num w:numId="15">
    <w:abstractNumId w:val="12"/>
  </w:num>
  <w:num w:numId="16">
    <w:abstractNumId w:val="14"/>
  </w:num>
  <w:num w:numId="17">
    <w:abstractNumId w:val="6"/>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6C"/>
    <w:rsid w:val="000A42D0"/>
    <w:rsid w:val="000F601D"/>
    <w:rsid w:val="00142DFE"/>
    <w:rsid w:val="001F7D7B"/>
    <w:rsid w:val="00263D7C"/>
    <w:rsid w:val="00266AE4"/>
    <w:rsid w:val="002A54FB"/>
    <w:rsid w:val="002E736C"/>
    <w:rsid w:val="00320BBD"/>
    <w:rsid w:val="00321064"/>
    <w:rsid w:val="00394A82"/>
    <w:rsid w:val="003A05D1"/>
    <w:rsid w:val="003F61D7"/>
    <w:rsid w:val="003F7BF4"/>
    <w:rsid w:val="004151B3"/>
    <w:rsid w:val="00421A20"/>
    <w:rsid w:val="004E74B1"/>
    <w:rsid w:val="005644D6"/>
    <w:rsid w:val="0058437C"/>
    <w:rsid w:val="00584BEE"/>
    <w:rsid w:val="005E202F"/>
    <w:rsid w:val="0065367E"/>
    <w:rsid w:val="006F13BC"/>
    <w:rsid w:val="00787D08"/>
    <w:rsid w:val="00815943"/>
    <w:rsid w:val="00817BEC"/>
    <w:rsid w:val="009D4827"/>
    <w:rsid w:val="009F19D7"/>
    <w:rsid w:val="00A1428A"/>
    <w:rsid w:val="00BB2106"/>
    <w:rsid w:val="00BB4A6C"/>
    <w:rsid w:val="00C47233"/>
    <w:rsid w:val="00C62C68"/>
    <w:rsid w:val="00C66047"/>
    <w:rsid w:val="00D2692F"/>
    <w:rsid w:val="00E328BC"/>
    <w:rsid w:val="00E32CDC"/>
    <w:rsid w:val="00E600F6"/>
    <w:rsid w:val="00F20F7B"/>
    <w:rsid w:val="00F80661"/>
    <w:rsid w:val="00F96571"/>
    <w:rsid w:val="00FB4748"/>
    <w:rsid w:val="0BB7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AF745-37BC-4A57-BD5F-CC891F20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2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96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B21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0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B210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B2106"/>
    <w:rPr>
      <w:color w:val="0000FF"/>
      <w:u w:val="single"/>
    </w:rPr>
  </w:style>
  <w:style w:type="paragraph" w:styleId="NormalWeb">
    <w:name w:val="Normal (Web)"/>
    <w:basedOn w:val="Normal"/>
    <w:uiPriority w:val="99"/>
    <w:semiHidden/>
    <w:unhideWhenUsed/>
    <w:rsid w:val="00BB21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2106"/>
    <w:rPr>
      <w:b/>
      <w:bCs/>
    </w:rPr>
  </w:style>
  <w:style w:type="paragraph" w:customStyle="1" w:styleId="copyright">
    <w:name w:val="copyright"/>
    <w:basedOn w:val="Normal"/>
    <w:rsid w:val="00BB21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BB21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B210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B210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B210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B2106"/>
    <w:rPr>
      <w:rFonts w:ascii="Arial" w:eastAsia="Times New Roman" w:hAnsi="Arial" w:cs="Arial"/>
      <w:vanish/>
      <w:sz w:val="16"/>
      <w:szCs w:val="16"/>
      <w:lang w:eastAsia="en-GB"/>
    </w:rPr>
  </w:style>
  <w:style w:type="paragraph" w:styleId="ListParagraph">
    <w:name w:val="List Paragraph"/>
    <w:basedOn w:val="Normal"/>
    <w:uiPriority w:val="34"/>
    <w:qFormat/>
    <w:rsid w:val="00D2692F"/>
    <w:pPr>
      <w:ind w:left="720"/>
      <w:contextualSpacing/>
    </w:pPr>
  </w:style>
  <w:style w:type="paragraph" w:styleId="Subtitle">
    <w:name w:val="Subtitle"/>
    <w:basedOn w:val="Normal"/>
    <w:next w:val="Normal"/>
    <w:link w:val="SubtitleChar"/>
    <w:uiPriority w:val="11"/>
    <w:qFormat/>
    <w:rsid w:val="00E328BC"/>
    <w:pPr>
      <w:spacing w:after="0"/>
    </w:pPr>
    <w:rPr>
      <w:rFonts w:ascii="Arial" w:hAnsi="Arial" w:cs="Arial"/>
      <w:b/>
      <w:sz w:val="24"/>
    </w:rPr>
  </w:style>
  <w:style w:type="character" w:customStyle="1" w:styleId="SubtitleChar">
    <w:name w:val="Subtitle Char"/>
    <w:basedOn w:val="DefaultParagraphFont"/>
    <w:link w:val="Subtitle"/>
    <w:uiPriority w:val="11"/>
    <w:rsid w:val="00E328BC"/>
    <w:rPr>
      <w:rFonts w:ascii="Arial" w:hAnsi="Arial" w:cs="Arial"/>
      <w:b/>
      <w:sz w:val="24"/>
    </w:rPr>
  </w:style>
  <w:style w:type="character" w:customStyle="1" w:styleId="Heading2Char">
    <w:name w:val="Heading 2 Char"/>
    <w:basedOn w:val="DefaultParagraphFont"/>
    <w:link w:val="Heading2"/>
    <w:uiPriority w:val="9"/>
    <w:semiHidden/>
    <w:rsid w:val="00F96571"/>
    <w:rPr>
      <w:rFonts w:asciiTheme="majorHAnsi" w:eastAsiaTheme="majorEastAsia" w:hAnsiTheme="majorHAnsi" w:cstheme="majorBidi"/>
      <w:color w:val="2E74B5" w:themeColor="accent1" w:themeShade="BF"/>
      <w:sz w:val="26"/>
      <w:szCs w:val="26"/>
    </w:rPr>
  </w:style>
  <w:style w:type="table" w:customStyle="1" w:styleId="TableGrid1">
    <w:name w:val="Table Grid1"/>
    <w:rsid w:val="00F96571"/>
    <w:pPr>
      <w:spacing w:after="0" w:line="240" w:lineRule="auto"/>
    </w:pPr>
    <w:rPr>
      <w:rFonts w:eastAsiaTheme="minorEastAsia"/>
      <w:lang w:eastAsia="en-GB"/>
    </w:rPr>
    <w:tblPr>
      <w:tblCellMar>
        <w:top w:w="0" w:type="dxa"/>
        <w:left w:w="0" w:type="dxa"/>
        <w:bottom w:w="0" w:type="dxa"/>
        <w:right w:w="0" w:type="dxa"/>
      </w:tblCellMar>
    </w:tblPr>
  </w:style>
  <w:style w:type="paragraph" w:styleId="Title">
    <w:name w:val="Title"/>
    <w:basedOn w:val="Normal"/>
    <w:next w:val="Normal"/>
    <w:link w:val="TitleChar"/>
    <w:uiPriority w:val="10"/>
    <w:qFormat/>
    <w:rsid w:val="00F96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57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8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661"/>
  </w:style>
  <w:style w:type="paragraph" w:styleId="Footer">
    <w:name w:val="footer"/>
    <w:basedOn w:val="Normal"/>
    <w:link w:val="FooterChar"/>
    <w:uiPriority w:val="99"/>
    <w:unhideWhenUsed/>
    <w:rsid w:val="00F8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661"/>
  </w:style>
  <w:style w:type="paragraph" w:styleId="BalloonText">
    <w:name w:val="Balloon Text"/>
    <w:basedOn w:val="Normal"/>
    <w:link w:val="BalloonTextChar"/>
    <w:uiPriority w:val="99"/>
    <w:semiHidden/>
    <w:unhideWhenUsed/>
    <w:rsid w:val="0039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A82"/>
    <w:rPr>
      <w:rFonts w:ascii="Tahoma" w:hAnsi="Tahoma" w:cs="Tahoma"/>
      <w:sz w:val="16"/>
      <w:szCs w:val="16"/>
    </w:rPr>
  </w:style>
  <w:style w:type="character" w:styleId="CommentReference">
    <w:name w:val="annotation reference"/>
    <w:basedOn w:val="DefaultParagraphFont"/>
    <w:uiPriority w:val="99"/>
    <w:semiHidden/>
    <w:unhideWhenUsed/>
    <w:rsid w:val="00A1428A"/>
    <w:rPr>
      <w:sz w:val="16"/>
      <w:szCs w:val="16"/>
    </w:rPr>
  </w:style>
  <w:style w:type="paragraph" w:styleId="CommentText">
    <w:name w:val="annotation text"/>
    <w:basedOn w:val="Normal"/>
    <w:link w:val="CommentTextChar"/>
    <w:uiPriority w:val="99"/>
    <w:semiHidden/>
    <w:unhideWhenUsed/>
    <w:rsid w:val="00A1428A"/>
    <w:pPr>
      <w:spacing w:line="240" w:lineRule="auto"/>
    </w:pPr>
    <w:rPr>
      <w:sz w:val="20"/>
      <w:szCs w:val="20"/>
    </w:rPr>
  </w:style>
  <w:style w:type="character" w:customStyle="1" w:styleId="CommentTextChar">
    <w:name w:val="Comment Text Char"/>
    <w:basedOn w:val="DefaultParagraphFont"/>
    <w:link w:val="CommentText"/>
    <w:uiPriority w:val="99"/>
    <w:semiHidden/>
    <w:rsid w:val="00A1428A"/>
    <w:rPr>
      <w:sz w:val="20"/>
      <w:szCs w:val="20"/>
    </w:rPr>
  </w:style>
  <w:style w:type="paragraph" w:styleId="CommentSubject">
    <w:name w:val="annotation subject"/>
    <w:basedOn w:val="CommentText"/>
    <w:next w:val="CommentText"/>
    <w:link w:val="CommentSubjectChar"/>
    <w:uiPriority w:val="99"/>
    <w:semiHidden/>
    <w:unhideWhenUsed/>
    <w:rsid w:val="00A1428A"/>
    <w:rPr>
      <w:b/>
      <w:bCs/>
    </w:rPr>
  </w:style>
  <w:style w:type="character" w:customStyle="1" w:styleId="CommentSubjectChar">
    <w:name w:val="Comment Subject Char"/>
    <w:basedOn w:val="CommentTextChar"/>
    <w:link w:val="CommentSubject"/>
    <w:uiPriority w:val="99"/>
    <w:semiHidden/>
    <w:rsid w:val="00A14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826907">
      <w:bodyDiv w:val="1"/>
      <w:marLeft w:val="0"/>
      <w:marRight w:val="0"/>
      <w:marTop w:val="0"/>
      <w:marBottom w:val="0"/>
      <w:divBdr>
        <w:top w:val="none" w:sz="0" w:space="0" w:color="auto"/>
        <w:left w:val="none" w:sz="0" w:space="0" w:color="auto"/>
        <w:bottom w:val="none" w:sz="0" w:space="0" w:color="auto"/>
        <w:right w:val="none" w:sz="0" w:space="0" w:color="auto"/>
      </w:divBdr>
      <w:divsChild>
        <w:div w:id="1199008344">
          <w:marLeft w:val="0"/>
          <w:marRight w:val="0"/>
          <w:marTop w:val="0"/>
          <w:marBottom w:val="0"/>
          <w:divBdr>
            <w:top w:val="none" w:sz="0" w:space="0" w:color="auto"/>
            <w:left w:val="none" w:sz="0" w:space="0" w:color="auto"/>
            <w:bottom w:val="none" w:sz="0" w:space="0" w:color="auto"/>
            <w:right w:val="none" w:sz="0" w:space="0" w:color="auto"/>
          </w:divBdr>
          <w:divsChild>
            <w:div w:id="1278175184">
              <w:marLeft w:val="0"/>
              <w:marRight w:val="0"/>
              <w:marTop w:val="0"/>
              <w:marBottom w:val="0"/>
              <w:divBdr>
                <w:top w:val="none" w:sz="0" w:space="0" w:color="auto"/>
                <w:left w:val="none" w:sz="0" w:space="0" w:color="auto"/>
                <w:bottom w:val="none" w:sz="0" w:space="0" w:color="auto"/>
                <w:right w:val="none" w:sz="0" w:space="0" w:color="auto"/>
              </w:divBdr>
              <w:divsChild>
                <w:div w:id="1978564305">
                  <w:marLeft w:val="-225"/>
                  <w:marRight w:val="-225"/>
                  <w:marTop w:val="0"/>
                  <w:marBottom w:val="0"/>
                  <w:divBdr>
                    <w:top w:val="none" w:sz="0" w:space="0" w:color="auto"/>
                    <w:left w:val="none" w:sz="0" w:space="0" w:color="auto"/>
                    <w:bottom w:val="none" w:sz="0" w:space="0" w:color="auto"/>
                    <w:right w:val="none" w:sz="0" w:space="0" w:color="auto"/>
                  </w:divBdr>
                  <w:divsChild>
                    <w:div w:id="2070182293">
                      <w:marLeft w:val="1463"/>
                      <w:marRight w:val="0"/>
                      <w:marTop w:val="0"/>
                      <w:marBottom w:val="0"/>
                      <w:divBdr>
                        <w:top w:val="none" w:sz="0" w:space="0" w:color="auto"/>
                        <w:left w:val="none" w:sz="0" w:space="0" w:color="auto"/>
                        <w:bottom w:val="none" w:sz="0" w:space="0" w:color="auto"/>
                        <w:right w:val="none" w:sz="0" w:space="0" w:color="auto"/>
                      </w:divBdr>
                      <w:divsChild>
                        <w:div w:id="8043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4898">
          <w:marLeft w:val="0"/>
          <w:marRight w:val="0"/>
          <w:marTop w:val="0"/>
          <w:marBottom w:val="0"/>
          <w:divBdr>
            <w:top w:val="none" w:sz="0" w:space="0" w:color="auto"/>
            <w:left w:val="none" w:sz="0" w:space="0" w:color="auto"/>
            <w:bottom w:val="none" w:sz="0" w:space="0" w:color="auto"/>
            <w:right w:val="none" w:sz="0" w:space="0" w:color="auto"/>
          </w:divBdr>
          <w:divsChild>
            <w:div w:id="1226064430">
              <w:marLeft w:val="0"/>
              <w:marRight w:val="0"/>
              <w:marTop w:val="0"/>
              <w:marBottom w:val="0"/>
              <w:divBdr>
                <w:top w:val="none" w:sz="0" w:space="0" w:color="auto"/>
                <w:left w:val="none" w:sz="0" w:space="0" w:color="auto"/>
                <w:bottom w:val="none" w:sz="0" w:space="0" w:color="auto"/>
                <w:right w:val="none" w:sz="0" w:space="0" w:color="auto"/>
              </w:divBdr>
              <w:divsChild>
                <w:div w:id="964849824">
                  <w:marLeft w:val="-225"/>
                  <w:marRight w:val="-225"/>
                  <w:marTop w:val="0"/>
                  <w:marBottom w:val="0"/>
                  <w:divBdr>
                    <w:top w:val="none" w:sz="0" w:space="0" w:color="auto"/>
                    <w:left w:val="none" w:sz="0" w:space="0" w:color="auto"/>
                    <w:bottom w:val="none" w:sz="0" w:space="0" w:color="auto"/>
                    <w:right w:val="none" w:sz="0" w:space="0" w:color="auto"/>
                  </w:divBdr>
                  <w:divsChild>
                    <w:div w:id="1976376457">
                      <w:marLeft w:val="0"/>
                      <w:marRight w:val="0"/>
                      <w:marTop w:val="0"/>
                      <w:marBottom w:val="0"/>
                      <w:divBdr>
                        <w:top w:val="none" w:sz="0" w:space="0" w:color="auto"/>
                        <w:left w:val="none" w:sz="0" w:space="0" w:color="auto"/>
                        <w:bottom w:val="none" w:sz="0" w:space="0" w:color="auto"/>
                        <w:right w:val="none" w:sz="0" w:space="0" w:color="auto"/>
                      </w:divBdr>
                      <w:divsChild>
                        <w:div w:id="18045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1004">
                  <w:marLeft w:val="-225"/>
                  <w:marRight w:val="-225"/>
                  <w:marTop w:val="0"/>
                  <w:marBottom w:val="0"/>
                  <w:divBdr>
                    <w:top w:val="none" w:sz="0" w:space="0" w:color="auto"/>
                    <w:left w:val="none" w:sz="0" w:space="0" w:color="auto"/>
                    <w:bottom w:val="none" w:sz="0" w:space="0" w:color="auto"/>
                    <w:right w:val="none" w:sz="0" w:space="0" w:color="auto"/>
                  </w:divBdr>
                  <w:divsChild>
                    <w:div w:id="1136723673">
                      <w:marLeft w:val="0"/>
                      <w:marRight w:val="0"/>
                      <w:marTop w:val="0"/>
                      <w:marBottom w:val="0"/>
                      <w:divBdr>
                        <w:top w:val="none" w:sz="0" w:space="0" w:color="auto"/>
                        <w:left w:val="none" w:sz="0" w:space="0" w:color="auto"/>
                        <w:bottom w:val="none" w:sz="0" w:space="0" w:color="auto"/>
                        <w:right w:val="none" w:sz="0" w:space="0" w:color="auto"/>
                      </w:divBdr>
                    </w:div>
                    <w:div w:id="1174761032">
                      <w:marLeft w:val="0"/>
                      <w:marRight w:val="0"/>
                      <w:marTop w:val="0"/>
                      <w:marBottom w:val="0"/>
                      <w:divBdr>
                        <w:top w:val="none" w:sz="0" w:space="0" w:color="auto"/>
                        <w:left w:val="none" w:sz="0" w:space="0" w:color="auto"/>
                        <w:bottom w:val="none" w:sz="0" w:space="0" w:color="auto"/>
                        <w:right w:val="none" w:sz="0" w:space="0" w:color="auto"/>
                      </w:divBdr>
                    </w:div>
                  </w:divsChild>
                </w:div>
                <w:div w:id="1246261521">
                  <w:marLeft w:val="-225"/>
                  <w:marRight w:val="-225"/>
                  <w:marTop w:val="0"/>
                  <w:marBottom w:val="0"/>
                  <w:divBdr>
                    <w:top w:val="none" w:sz="0" w:space="0" w:color="auto"/>
                    <w:left w:val="none" w:sz="0" w:space="0" w:color="auto"/>
                    <w:bottom w:val="none" w:sz="0" w:space="0" w:color="auto"/>
                    <w:right w:val="none" w:sz="0" w:space="0" w:color="auto"/>
                  </w:divBdr>
                  <w:divsChild>
                    <w:div w:id="1582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832">
          <w:marLeft w:val="0"/>
          <w:marRight w:val="0"/>
          <w:marTop w:val="0"/>
          <w:marBottom w:val="0"/>
          <w:divBdr>
            <w:top w:val="none" w:sz="0" w:space="0" w:color="auto"/>
            <w:left w:val="none" w:sz="0" w:space="0" w:color="auto"/>
            <w:bottom w:val="none" w:sz="0" w:space="0" w:color="auto"/>
            <w:right w:val="none" w:sz="0" w:space="0" w:color="auto"/>
          </w:divBdr>
          <w:divsChild>
            <w:div w:id="115216528">
              <w:marLeft w:val="-225"/>
              <w:marRight w:val="-225"/>
              <w:marTop w:val="0"/>
              <w:marBottom w:val="0"/>
              <w:divBdr>
                <w:top w:val="none" w:sz="0" w:space="0" w:color="auto"/>
                <w:left w:val="none" w:sz="0" w:space="0" w:color="auto"/>
                <w:bottom w:val="none" w:sz="0" w:space="0" w:color="auto"/>
                <w:right w:val="none" w:sz="0" w:space="0" w:color="auto"/>
              </w:divBdr>
              <w:divsChild>
                <w:div w:id="3312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5574">
          <w:marLeft w:val="0"/>
          <w:marRight w:val="0"/>
          <w:marTop w:val="100"/>
          <w:marBottom w:val="100"/>
          <w:divBdr>
            <w:top w:val="none" w:sz="0" w:space="0" w:color="auto"/>
            <w:left w:val="none" w:sz="0" w:space="0" w:color="auto"/>
            <w:bottom w:val="none" w:sz="0" w:space="0" w:color="auto"/>
            <w:right w:val="none" w:sz="0" w:space="0" w:color="auto"/>
          </w:divBdr>
          <w:divsChild>
            <w:div w:id="765732634">
              <w:marLeft w:val="0"/>
              <w:marRight w:val="0"/>
              <w:marTop w:val="0"/>
              <w:marBottom w:val="0"/>
              <w:divBdr>
                <w:top w:val="none" w:sz="0" w:space="0" w:color="auto"/>
                <w:left w:val="none" w:sz="0" w:space="0" w:color="auto"/>
                <w:bottom w:val="none" w:sz="0" w:space="0" w:color="auto"/>
                <w:right w:val="none" w:sz="0" w:space="0" w:color="auto"/>
              </w:divBdr>
              <w:divsChild>
                <w:div w:id="1823768403">
                  <w:marLeft w:val="-225"/>
                  <w:marRight w:val="-225"/>
                  <w:marTop w:val="0"/>
                  <w:marBottom w:val="0"/>
                  <w:divBdr>
                    <w:top w:val="none" w:sz="0" w:space="0" w:color="auto"/>
                    <w:left w:val="none" w:sz="0" w:space="0" w:color="auto"/>
                    <w:bottom w:val="none" w:sz="0" w:space="0" w:color="auto"/>
                    <w:right w:val="none" w:sz="0" w:space="0" w:color="auto"/>
                  </w:divBdr>
                  <w:divsChild>
                    <w:div w:id="989751800">
                      <w:marLeft w:val="0"/>
                      <w:marRight w:val="0"/>
                      <w:marTop w:val="0"/>
                      <w:marBottom w:val="0"/>
                      <w:divBdr>
                        <w:top w:val="none" w:sz="0" w:space="0" w:color="auto"/>
                        <w:left w:val="none" w:sz="0" w:space="0" w:color="auto"/>
                        <w:bottom w:val="none" w:sz="0" w:space="0" w:color="auto"/>
                        <w:right w:val="none" w:sz="0" w:space="0" w:color="auto"/>
                      </w:divBdr>
                    </w:div>
                  </w:divsChild>
                </w:div>
                <w:div w:id="1450902769">
                  <w:marLeft w:val="-225"/>
                  <w:marRight w:val="-225"/>
                  <w:marTop w:val="0"/>
                  <w:marBottom w:val="0"/>
                  <w:divBdr>
                    <w:top w:val="single" w:sz="6" w:space="23" w:color="BAB0AE"/>
                    <w:left w:val="none" w:sz="0" w:space="0" w:color="auto"/>
                    <w:bottom w:val="none" w:sz="0" w:space="0" w:color="auto"/>
                    <w:right w:val="none" w:sz="0" w:space="0" w:color="auto"/>
                  </w:divBdr>
                  <w:divsChild>
                    <w:div w:id="920986914">
                      <w:marLeft w:val="0"/>
                      <w:marRight w:val="0"/>
                      <w:marTop w:val="0"/>
                      <w:marBottom w:val="0"/>
                      <w:divBdr>
                        <w:top w:val="none" w:sz="0" w:space="0" w:color="auto"/>
                        <w:left w:val="none" w:sz="0" w:space="0" w:color="auto"/>
                        <w:bottom w:val="none" w:sz="0" w:space="0" w:color="auto"/>
                        <w:right w:val="single" w:sz="6" w:space="9" w:color="BAB0AE"/>
                      </w:divBdr>
                    </w:div>
                    <w:div w:id="651720579">
                      <w:marLeft w:val="0"/>
                      <w:marRight w:val="0"/>
                      <w:marTop w:val="0"/>
                      <w:marBottom w:val="0"/>
                      <w:divBdr>
                        <w:top w:val="none" w:sz="0" w:space="0" w:color="auto"/>
                        <w:left w:val="none" w:sz="0" w:space="0" w:color="auto"/>
                        <w:bottom w:val="none" w:sz="0" w:space="0" w:color="auto"/>
                        <w:right w:val="single" w:sz="6" w:space="9" w:color="BAB0AE"/>
                      </w:divBdr>
                    </w:div>
                    <w:div w:id="394862184">
                      <w:marLeft w:val="0"/>
                      <w:marRight w:val="0"/>
                      <w:marTop w:val="0"/>
                      <w:marBottom w:val="0"/>
                      <w:divBdr>
                        <w:top w:val="none" w:sz="0" w:space="0" w:color="auto"/>
                        <w:left w:val="none" w:sz="0" w:space="0" w:color="auto"/>
                        <w:bottom w:val="none" w:sz="0" w:space="0" w:color="auto"/>
                        <w:right w:val="single" w:sz="6" w:space="9" w:color="BAB0AE"/>
                      </w:divBdr>
                    </w:div>
                    <w:div w:id="1976249458">
                      <w:marLeft w:val="0"/>
                      <w:marRight w:val="0"/>
                      <w:marTop w:val="225"/>
                      <w:marBottom w:val="0"/>
                      <w:divBdr>
                        <w:top w:val="none" w:sz="0" w:space="0" w:color="auto"/>
                        <w:left w:val="none" w:sz="0" w:space="0" w:color="auto"/>
                        <w:bottom w:val="none" w:sz="0" w:space="0" w:color="auto"/>
                        <w:right w:val="none" w:sz="0" w:space="0" w:color="auto"/>
                      </w:divBdr>
                      <w:divsChild>
                        <w:div w:id="2060742707">
                          <w:marLeft w:val="0"/>
                          <w:marRight w:val="0"/>
                          <w:marTop w:val="0"/>
                          <w:marBottom w:val="0"/>
                          <w:divBdr>
                            <w:top w:val="none" w:sz="0" w:space="0" w:color="auto"/>
                            <w:left w:val="none" w:sz="0" w:space="0" w:color="auto"/>
                            <w:bottom w:val="none" w:sz="0" w:space="0" w:color="auto"/>
                            <w:right w:val="none" w:sz="0" w:space="0" w:color="auto"/>
                          </w:divBdr>
                        </w:div>
                        <w:div w:id="1938098706">
                          <w:marLeft w:val="0"/>
                          <w:marRight w:val="0"/>
                          <w:marTop w:val="0"/>
                          <w:marBottom w:val="0"/>
                          <w:divBdr>
                            <w:top w:val="none" w:sz="0" w:space="0" w:color="auto"/>
                            <w:left w:val="none" w:sz="0" w:space="0" w:color="auto"/>
                            <w:bottom w:val="none" w:sz="0" w:space="0" w:color="auto"/>
                            <w:right w:val="none" w:sz="0" w:space="0" w:color="auto"/>
                          </w:divBdr>
                        </w:div>
                        <w:div w:id="1703361868">
                          <w:marLeft w:val="0"/>
                          <w:marRight w:val="0"/>
                          <w:marTop w:val="0"/>
                          <w:marBottom w:val="0"/>
                          <w:divBdr>
                            <w:top w:val="none" w:sz="0" w:space="0" w:color="auto"/>
                            <w:left w:val="none" w:sz="0" w:space="0" w:color="auto"/>
                            <w:bottom w:val="none" w:sz="0" w:space="0" w:color="auto"/>
                            <w:right w:val="none" w:sz="0" w:space="0" w:color="auto"/>
                          </w:divBdr>
                        </w:div>
                        <w:div w:id="400367454">
                          <w:marLeft w:val="0"/>
                          <w:marRight w:val="0"/>
                          <w:marTop w:val="0"/>
                          <w:marBottom w:val="0"/>
                          <w:divBdr>
                            <w:top w:val="none" w:sz="0" w:space="0" w:color="auto"/>
                            <w:left w:val="none" w:sz="0" w:space="0" w:color="auto"/>
                            <w:bottom w:val="none" w:sz="0" w:space="0" w:color="auto"/>
                            <w:right w:val="none" w:sz="0" w:space="0" w:color="auto"/>
                          </w:divBdr>
                        </w:div>
                      </w:divsChild>
                    </w:div>
                    <w:div w:id="4293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aa816b2-c7a3-44dc-b4e1-110c35bbdecf" ContentTypeId="0x0101009246ECF8659AC441989D5D22D72534F1" PreviousValue="false"/>
</file>

<file path=customXml/item2.xml><?xml version="1.0" encoding="utf-8"?>
<ct:contentTypeSchema xmlns:ct="http://schemas.microsoft.com/office/2006/metadata/contentType" xmlns:ma="http://schemas.microsoft.com/office/2006/metadata/properties/metaAttributes" ct:_="" ma:_="" ma:contentTypeName="MCI_PolicyDocument" ma:contentTypeID="0x0101009246ECF8659AC441989D5D22D72534F100D63EEA752289424F905027FE2FFA142F" ma:contentTypeVersion="4" ma:contentTypeDescription="" ma:contentTypeScope="" ma:versionID="4b8201dbe17697cf4d1fddb819f1b268">
  <xsd:schema xmlns:xsd="http://www.w3.org/2001/XMLSchema" xmlns:xs="http://www.w3.org/2001/XMLSchema" xmlns:p="http://schemas.microsoft.com/office/2006/metadata/properties" xmlns:ns2="2d4163dd-cc7e-4918-a031-1bd0355219b9" targetNamespace="http://schemas.microsoft.com/office/2006/metadata/properties" ma:root="true" ma:fieldsID="21a0fac2ed81f91ad2c9b581003c9556" ns2:_="">
    <xsd:import namespace="2d4163dd-cc7e-4918-a031-1bd0355219b9"/>
    <xsd:element name="properties">
      <xsd:complexType>
        <xsd:sequence>
          <xsd:element name="documentManagement">
            <xsd:complexType>
              <xsd:all>
                <xsd:element ref="ns2:EDI_x0020_Impact_x0020_Assessment" minOccurs="0"/>
                <xsd:element ref="ns2:caaa6e69465e48fbbfb70fc1eb8a7520" minOccurs="0"/>
                <xsd:element ref="ns2:TaxCatchAll" minOccurs="0"/>
                <xsd:element ref="ns2:TaxCatchAllLabel" minOccurs="0"/>
                <xsd:element ref="ns2:dff51bb90b4049818272b3615150c246" minOccurs="0"/>
                <xsd:element ref="ns2:d715455231ea447792a8460d7261ca15" minOccurs="0"/>
                <xsd:element ref="ns2:Privacy_x0020_Impact_x0020_Assessment" minOccurs="0"/>
                <xsd:element ref="ns2:i3763129b065453cabcf48c15c74fc55" minOccurs="0"/>
                <xsd:element ref="ns2:m2961aa3b94243a98fc5ab721faa35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163dd-cc7e-4918-a031-1bd0355219b9" elementFormDefault="qualified">
    <xsd:import namespace="http://schemas.microsoft.com/office/2006/documentManagement/types"/>
    <xsd:import namespace="http://schemas.microsoft.com/office/infopath/2007/PartnerControls"/>
    <xsd:element name="EDI_x0020_Impact_x0020_Assessment" ma:index="8" nillable="true" ma:displayName="EDI Impact Assessment" ma:default="1" ma:internalName="EDI_x0020_Impact_x0020_Assessment">
      <xsd:simpleType>
        <xsd:restriction base="dms:Boolean"/>
      </xsd:simpleType>
    </xsd:element>
    <xsd:element name="caaa6e69465e48fbbfb70fc1eb8a7520" ma:index="9" ma:taxonomy="true" ma:internalName="caaa6e69465e48fbbfb70fc1eb8a7520" ma:taxonomyFieldName="MC_DocumentType" ma:displayName="MC_DocumentType" ma:readOnly="false" ma:default="" ma:fieldId="{caaa6e69-465e-48fb-bfb7-0fc1eb8a7520}" ma:sspId="aaa816b2-c7a3-44dc-b4e1-110c35bbdecf" ma:termSetId="c267dbad-1d09-4d54-81bb-d960299258b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2fc01d-8238-4579-9871-dd3936f4236b}" ma:internalName="TaxCatchAll" ma:showField="CatchAllData" ma:web="f09d76b2-5e78-428e-bea4-59d317e13f0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2fc01d-8238-4579-9871-dd3936f4236b}" ma:internalName="TaxCatchAllLabel" ma:readOnly="true" ma:showField="CatchAllDataLabel" ma:web="f09d76b2-5e78-428e-bea4-59d317e13f08">
      <xsd:complexType>
        <xsd:complexContent>
          <xsd:extension base="dms:MultiChoiceLookup">
            <xsd:sequence>
              <xsd:element name="Value" type="dms:Lookup" maxOccurs="unbounded" minOccurs="0" nillable="true"/>
            </xsd:sequence>
          </xsd:extension>
        </xsd:complexContent>
      </xsd:complexType>
    </xsd:element>
    <xsd:element name="dff51bb90b4049818272b3615150c246" ma:index="13" nillable="true" ma:taxonomy="true" ma:internalName="dff51bb90b4049818272b3615150c246" ma:taxonomyFieldName="Owner_x0020__x0028_Role_x0029_" ma:displayName="Owner (Role)" ma:indexed="true" ma:readOnly="false" ma:default="" ma:fieldId="{dff51bb9-0b40-4981-8272-b3615150c246}" ma:sspId="aaa816b2-c7a3-44dc-b4e1-110c35bbdecf" ma:termSetId="c02806e5-36ec-4a52-a3f0-8c595d1eaf25" ma:anchorId="00000000-0000-0000-0000-000000000000" ma:open="true" ma:isKeyword="false">
      <xsd:complexType>
        <xsd:sequence>
          <xsd:element ref="pc:Terms" minOccurs="0" maxOccurs="1"/>
        </xsd:sequence>
      </xsd:complexType>
    </xsd:element>
    <xsd:element name="d715455231ea447792a8460d7261ca15" ma:index="15" nillable="true" ma:taxonomy="true" ma:internalName="d715455231ea447792a8460d7261ca15" ma:taxonomyFieldName="Policy_x0020_Area" ma:displayName="Policy Area" ma:indexed="true" ma:default="" ma:fieldId="{d7154552-31ea-4477-92a8-460d7261ca15}" ma:sspId="aaa816b2-c7a3-44dc-b4e1-110c35bbdecf" ma:termSetId="70fdf55d-f0d4-43a0-a1f0-ae273579e41c" ma:anchorId="00000000-0000-0000-0000-000000000000" ma:open="false" ma:isKeyword="false">
      <xsd:complexType>
        <xsd:sequence>
          <xsd:element ref="pc:Terms" minOccurs="0" maxOccurs="1"/>
        </xsd:sequence>
      </xsd:complexType>
    </xsd:element>
    <xsd:element name="Privacy_x0020_Impact_x0020_Assessment" ma:index="17" nillable="true" ma:displayName="Privacy Impact Assessment" ma:default="0" ma:internalName="Privacy_x0020_Impact_x0020_Assessment">
      <xsd:simpleType>
        <xsd:restriction base="dms:Boolean"/>
      </xsd:simpleType>
    </xsd:element>
    <xsd:element name="i3763129b065453cabcf48c15c74fc55" ma:index="18" nillable="true" ma:taxonomy="true" ma:internalName="i3763129b065453cabcf48c15c74fc55" ma:taxonomyFieldName="Required_x0020_Approval_x0020_Level" ma:displayName="Required Approval Level" ma:default="" ma:fieldId="{23763129-b065-453c-abcf-48c15c74fc55}" ma:sspId="aaa816b2-c7a3-44dc-b4e1-110c35bbdecf" ma:termSetId="33ef43df-0a88-4d7b-a809-d26182678e12" ma:anchorId="00000000-0000-0000-0000-000000000000" ma:open="false" ma:isKeyword="false">
      <xsd:complexType>
        <xsd:sequence>
          <xsd:element ref="pc:Terms" minOccurs="0" maxOccurs="1"/>
        </xsd:sequence>
      </xsd:complexType>
    </xsd:element>
    <xsd:element name="m2961aa3b94243a98fc5ab721faa3531" ma:index="20" nillable="true" ma:taxonomy="true" ma:internalName="m2961aa3b94243a98fc5ab721faa3531" ma:taxonomyFieldName="Senior_x0020_Responsible_x0020_Owner_x0020__x0028_role_x0029_" ma:displayName="Senior Responsible Owner (role)" ma:default="" ma:fieldId="{62961aa3-b942-43a9-8fc5-ab721faa3531}" ma:sspId="aaa816b2-c7a3-44dc-b4e1-110c35bbdecf" ma:termSetId="c02806e5-36ec-4a52-a3f0-8c595d1eaf2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2961aa3b94243a98fc5ab721faa3531 xmlns="2d4163dd-cc7e-4918-a031-1bd0355219b9">
      <Terms xmlns="http://schemas.microsoft.com/office/infopath/2007/PartnerControls">
        <TermInfo xmlns="http://schemas.microsoft.com/office/infopath/2007/PartnerControls">
          <TermName xmlns="http://schemas.microsoft.com/office/infopath/2007/PartnerControls">Vice Principal Curriculum and Quality</TermName>
          <TermId xmlns="http://schemas.microsoft.com/office/infopath/2007/PartnerControls">06c0d4cf-2413-43cf-a9a8-1fa8289dd303</TermId>
        </TermInfo>
      </Terms>
    </m2961aa3b94243a98fc5ab721faa3531>
    <i3763129b065453cabcf48c15c74fc55 xmlns="2d4163dd-cc7e-4918-a031-1bd0355219b9">
      <Terms xmlns="http://schemas.microsoft.com/office/infopath/2007/PartnerControls">
        <TermInfo xmlns="http://schemas.microsoft.com/office/infopath/2007/PartnerControls">
          <TermName xmlns="http://schemas.microsoft.com/office/infopath/2007/PartnerControls">Senior Leadership Team</TermName>
          <TermId xmlns="http://schemas.microsoft.com/office/infopath/2007/PartnerControls">86fcb855-6eba-4468-b4ab-112756e4a9e4</TermId>
        </TermInfo>
      </Terms>
    </i3763129b065453cabcf48c15c74fc55>
    <d715455231ea447792a8460d7261ca15 xmlns="2d4163dd-cc7e-4918-a031-1bd0355219b9">
      <Terms xmlns="http://schemas.microsoft.com/office/infopath/2007/PartnerControls">
        <TermInfo xmlns="http://schemas.microsoft.com/office/infopath/2007/PartnerControls">
          <TermName xmlns="http://schemas.microsoft.com/office/infopath/2007/PartnerControls">Higher Education</TermName>
          <TermId xmlns="http://schemas.microsoft.com/office/infopath/2007/PartnerControls">8dcb7bfe-2f6a-408d-a356-3165243b2935</TermId>
        </TermInfo>
      </Terms>
    </d715455231ea447792a8460d7261ca15>
    <Privacy_x0020_Impact_x0020_Assessment xmlns="2d4163dd-cc7e-4918-a031-1bd0355219b9">false</Privacy_x0020_Impact_x0020_Assessment>
    <EDI_x0020_Impact_x0020_Assessment xmlns="2d4163dd-cc7e-4918-a031-1bd0355219b9">true</EDI_x0020_Impact_x0020_Assessment>
    <TaxCatchAll xmlns="2d4163dd-cc7e-4918-a031-1bd0355219b9">
      <Value>6</Value>
      <Value>47</Value>
      <Value>11</Value>
      <Value>34</Value>
      <Value>1</Value>
    </TaxCatchAll>
    <caaa6e69465e48fbbfb70fc1eb8a7520 xmlns="2d4163dd-cc7e-4918-a031-1bd0355219b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1be18a00-8ff1-48aa-af60-945801dfd8be</TermId>
        </TermInfo>
      </Terms>
    </caaa6e69465e48fbbfb70fc1eb8a7520>
    <dff51bb90b4049818272b3615150c246 xmlns="2d4163dd-cc7e-4918-a031-1bd0355219b9">
      <Terms xmlns="http://schemas.microsoft.com/office/infopath/2007/PartnerControls">
        <TermInfo xmlns="http://schemas.microsoft.com/office/infopath/2007/PartnerControls">
          <TermName xmlns="http://schemas.microsoft.com/office/infopath/2007/PartnerControls">Head of Higher Education</TermName>
          <TermId xmlns="http://schemas.microsoft.com/office/infopath/2007/PartnerControls">aea142e9-fa8f-4e05-8d77-d068233cce58</TermId>
        </TermInfo>
      </Terms>
    </dff51bb90b4049818272b3615150c24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D917F-A012-44D3-8690-02377199F9AC}">
  <ds:schemaRefs>
    <ds:schemaRef ds:uri="Microsoft.SharePoint.Taxonomy.ContentTypeSync"/>
  </ds:schemaRefs>
</ds:datastoreItem>
</file>

<file path=customXml/itemProps2.xml><?xml version="1.0" encoding="utf-8"?>
<ds:datastoreItem xmlns:ds="http://schemas.openxmlformats.org/officeDocument/2006/customXml" ds:itemID="{5F1DE314-B56B-4CA6-8B6F-8857A1D5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163dd-cc7e-4918-a031-1bd035521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14845-340F-48E3-9A66-EC560F6B270B}">
  <ds:schemaRefs>
    <ds:schemaRef ds:uri="http://schemas.microsoft.com/office/2006/metadata/properties"/>
    <ds:schemaRef ds:uri="http://schemas.microsoft.com/office/infopath/2007/PartnerControls"/>
    <ds:schemaRef ds:uri="2d4163dd-cc7e-4918-a031-1bd0355219b9"/>
  </ds:schemaRefs>
</ds:datastoreItem>
</file>

<file path=customXml/itemProps4.xml><?xml version="1.0" encoding="utf-8"?>
<ds:datastoreItem xmlns:ds="http://schemas.openxmlformats.org/officeDocument/2006/customXml" ds:itemID="{CF9E5524-6CE9-451F-AFBB-A1A21CE71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 Student Protection Plan</vt:lpstr>
    </vt:vector>
  </TitlesOfParts>
  <Company>Moulton College</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Student Protection Plan</dc:title>
  <dc:creator>Tony Mangan</dc:creator>
  <cp:lastModifiedBy>Cleeve Jenkins</cp:lastModifiedBy>
  <cp:revision>2</cp:revision>
  <cp:lastPrinted>2020-02-27T09:55:00Z</cp:lastPrinted>
  <dcterms:created xsi:type="dcterms:W3CDTF">2020-08-19T14:04:00Z</dcterms:created>
  <dcterms:modified xsi:type="dcterms:W3CDTF">2020-08-19T14:04:00Z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ior Responsible Owner (role)">
    <vt:lpwstr>34;#Vice Principal Curriculum and Quality|06c0d4cf-2413-43cf-a9a8-1fa8289dd303</vt:lpwstr>
  </property>
  <property fmtid="{D5CDD505-2E9C-101B-9397-08002B2CF9AE}" pid="3" name="TaxKeyword">
    <vt:lpwstr/>
  </property>
  <property fmtid="{D5CDD505-2E9C-101B-9397-08002B2CF9AE}" pid="4" name="MC_DocumentType">
    <vt:lpwstr>1;#Policy|1be18a00-8ff1-48aa-af60-945801dfd8be</vt:lpwstr>
  </property>
  <property fmtid="{D5CDD505-2E9C-101B-9397-08002B2CF9AE}" pid="5" name="ContentTypeId">
    <vt:lpwstr>0x0101009246ECF8659AC441989D5D22D72534F100D63EEA752289424F905027FE2FFA142F</vt:lpwstr>
  </property>
  <property fmtid="{D5CDD505-2E9C-101B-9397-08002B2CF9AE}" pid="6" name="TaxKeywordTaxHTField">
    <vt:lpwstr/>
  </property>
  <property fmtid="{D5CDD505-2E9C-101B-9397-08002B2CF9AE}" pid="7" name="Required Approval Level">
    <vt:lpwstr>6;#Senior Leadership Team|86fcb855-6eba-4468-b4ab-112756e4a9e4</vt:lpwstr>
  </property>
  <property fmtid="{D5CDD505-2E9C-101B-9397-08002B2CF9AE}" pid="8" name="Policy Area">
    <vt:lpwstr>11;#Higher Education|8dcb7bfe-2f6a-408d-a356-3165243b2935</vt:lpwstr>
  </property>
  <property fmtid="{D5CDD505-2E9C-101B-9397-08002B2CF9AE}" pid="9" name="Owner (Role)">
    <vt:lpwstr>47;#Head of Higher Education|aea142e9-fa8f-4e05-8d77-d068233cce58</vt:lpwstr>
  </property>
  <property fmtid="{D5CDD505-2E9C-101B-9397-08002B2CF9AE}" pid="10" name="Policy Unique Reference">
    <vt:lpwstr>HE-02</vt:lpwstr>
  </property>
  <property fmtid="{D5CDD505-2E9C-101B-9397-08002B2CF9AE}" pid="11" name="Policy Approval Date">
    <vt:filetime>2020-02-27T00:00:00Z</vt:filetime>
  </property>
  <property fmtid="{D5CDD505-2E9C-101B-9397-08002B2CF9AE}" pid="12" name="Policy Expiry Date">
    <vt:filetime>2021-07-30T23:00:00Z</vt:filetime>
  </property>
  <property fmtid="{D5CDD505-2E9C-101B-9397-08002B2CF9AE}" pid="13" name="Status">
    <vt:lpwstr>Pending OFS Feedback</vt:lpwstr>
  </property>
</Properties>
</file>